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F5" w:rsidRDefault="00FD06EA">
      <w:pPr>
        <w:spacing w:line="580" w:lineRule="exact"/>
        <w:jc w:val="center"/>
        <w:rPr>
          <w:rFonts w:ascii="方正小标宋简体" w:eastAsia="方正小标宋简体" w:hAnsi="方正小标宋简体" w:cs="方正小标宋简体"/>
          <w:w w:val="95"/>
          <w:sz w:val="44"/>
          <w:szCs w:val="44"/>
        </w:rPr>
      </w:pPr>
      <w:bookmarkStart w:id="0" w:name="_GoBack"/>
      <w:bookmarkEnd w:id="0"/>
      <w:r>
        <w:rPr>
          <w:rFonts w:ascii="方正小标宋简体" w:eastAsia="方正小标宋简体" w:hAnsi="方正小标宋简体" w:cs="方正小标宋简体" w:hint="eastAsia"/>
          <w:w w:val="95"/>
          <w:sz w:val="44"/>
          <w:szCs w:val="44"/>
        </w:rPr>
        <w:t>信阳市高层次人才子女入学服务实施办法</w:t>
      </w:r>
    </w:p>
    <w:p w:rsidR="00675BF5" w:rsidRDefault="00FD06EA">
      <w:pPr>
        <w:spacing w:line="58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（暂行）</w:t>
      </w:r>
    </w:p>
    <w:p w:rsidR="00675BF5" w:rsidRDefault="00675BF5" w:rsidP="005768AF">
      <w:pPr>
        <w:spacing w:line="580" w:lineRule="exact"/>
        <w:ind w:firstLineChars="200" w:firstLine="641"/>
        <w:rPr>
          <w:rFonts w:eastAsia="仿宋_GB2312"/>
          <w:b/>
          <w:bCs/>
          <w:sz w:val="32"/>
          <w:szCs w:val="32"/>
        </w:rPr>
      </w:pPr>
    </w:p>
    <w:p w:rsidR="00675BF5" w:rsidRDefault="00FD06EA" w:rsidP="005768AF">
      <w:pPr>
        <w:spacing w:line="580" w:lineRule="exact"/>
        <w:ind w:firstLineChars="200" w:firstLine="641"/>
        <w:rPr>
          <w:rFonts w:ascii="仿宋_GB2312" w:eastAsia="仿宋_GB2312" w:hAnsi="仿宋"/>
          <w:sz w:val="32"/>
          <w:szCs w:val="32"/>
        </w:rPr>
      </w:pPr>
      <w:r>
        <w:rPr>
          <w:rFonts w:eastAsia="仿宋_GB2312" w:hint="eastAsia"/>
          <w:b/>
          <w:bCs/>
          <w:sz w:val="32"/>
          <w:szCs w:val="32"/>
        </w:rPr>
        <w:t>第一条</w:t>
      </w:r>
      <w:r>
        <w:rPr>
          <w:rFonts w:eastAsia="仿宋_GB2312" w:hint="eastAsia"/>
          <w:sz w:val="32"/>
          <w:szCs w:val="32"/>
        </w:rPr>
        <w:t xml:space="preserve">  </w:t>
      </w:r>
      <w:r>
        <w:rPr>
          <w:rFonts w:eastAsia="仿宋_GB2312" w:hint="eastAsia"/>
          <w:sz w:val="32"/>
          <w:szCs w:val="32"/>
        </w:rPr>
        <w:t>根据</w:t>
      </w:r>
      <w:r>
        <w:rPr>
          <w:rFonts w:ascii="仿宋_GB2312" w:eastAsia="仿宋_GB2312" w:hAnsi="仿宋" w:hint="eastAsia"/>
          <w:sz w:val="32"/>
          <w:szCs w:val="32"/>
        </w:rPr>
        <w:t>中共信阳市委人才工作委员会关于印发《信阳市高层次人才认定和支持办法》的通知（信人才〔2021〕3号）精神，为落实高层次人才子女入学有关政策，制定本办法。</w:t>
      </w:r>
    </w:p>
    <w:p w:rsidR="00675BF5" w:rsidRDefault="00FD06EA" w:rsidP="005768AF">
      <w:pPr>
        <w:spacing w:line="580" w:lineRule="exact"/>
        <w:ind w:firstLineChars="200" w:firstLine="641"/>
        <w:rPr>
          <w:rFonts w:ascii="仿宋_GB2312" w:eastAsia="仿宋_GB2312" w:hAnsi="仿宋"/>
          <w:sz w:val="32"/>
          <w:szCs w:val="32"/>
        </w:rPr>
      </w:pPr>
      <w:r>
        <w:rPr>
          <w:rFonts w:eastAsia="仿宋_GB2312" w:hint="eastAsia"/>
          <w:b/>
          <w:bCs/>
          <w:sz w:val="32"/>
          <w:szCs w:val="32"/>
        </w:rPr>
        <w:t>第二条</w:t>
      </w:r>
      <w:r>
        <w:rPr>
          <w:rFonts w:ascii="仿宋_GB2312" w:eastAsia="仿宋_GB2312" w:hAnsi="仿宋" w:hint="eastAsia"/>
          <w:sz w:val="32"/>
          <w:szCs w:val="32"/>
        </w:rPr>
        <w:t xml:space="preserve">  本办法适用对象是依据信人才〔2021〕3号文件，经我市认定的高层次人才，包括顶尖人才、国家级领军人才、地方级领军人才、地方突出贡献人才。</w:t>
      </w:r>
    </w:p>
    <w:p w:rsidR="00675BF5" w:rsidRDefault="00FD06EA" w:rsidP="005768AF">
      <w:pPr>
        <w:spacing w:line="580" w:lineRule="exact"/>
        <w:ind w:firstLineChars="200" w:firstLine="641"/>
        <w:rPr>
          <w:rFonts w:ascii="仿宋_GB2312" w:eastAsia="仿宋_GB2312" w:hAnsi="仿宋"/>
          <w:sz w:val="32"/>
          <w:szCs w:val="32"/>
        </w:rPr>
      </w:pPr>
      <w:r>
        <w:rPr>
          <w:rFonts w:eastAsia="仿宋_GB2312" w:hint="eastAsia"/>
          <w:b/>
          <w:bCs/>
          <w:sz w:val="32"/>
          <w:szCs w:val="32"/>
        </w:rPr>
        <w:t>第三条</w:t>
      </w:r>
      <w:r>
        <w:rPr>
          <w:rFonts w:ascii="仿宋_GB2312" w:eastAsia="仿宋_GB2312" w:hAnsi="仿宋" w:hint="eastAsia"/>
          <w:sz w:val="32"/>
          <w:szCs w:val="32"/>
        </w:rPr>
        <w:t xml:space="preserve">  高层次人才享有以下政策待遇：</w:t>
      </w:r>
    </w:p>
    <w:p w:rsidR="00675BF5" w:rsidRDefault="00FD06EA">
      <w:pPr>
        <w:widowControl/>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（一）适龄子女入学。</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接受学前教育的，优先就近入公办幼儿园或普惠性民办幼儿园就学。</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接受义务教育的，根据其居住地和工作单位，按照就近入学原则，优先安排在优质公办学校就读。</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接受普通高中教育的，需参加河南省统一组织的高级中等学校招生考试，在符合录取条件的情况下，优先录取。</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接受职业高中教育的，优先选择专业。</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（二）适龄子女转学。转入我市义务教育阶段学校、普通高中就读的，教育部门根据人才意愿，结合学校的接收能力，安排在我市中心城区、各县相关学校就读，并在规定的工作日内办结。</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（三）适龄子女非我市户籍的，在我市就读义务教育阶段、普通高中阶段学校，享受我市户籍学生同等待遇。</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（四）子女入学事宜。由市教育部门统筹协调，县区教育部门和学校负责落实。</w:t>
      </w:r>
    </w:p>
    <w:p w:rsidR="00675BF5" w:rsidRDefault="00FD06EA" w:rsidP="00600480">
      <w:pPr>
        <w:spacing w:line="600" w:lineRule="exact"/>
        <w:ind w:firstLineChars="200" w:firstLine="643"/>
        <w:rPr>
          <w:rFonts w:ascii="黑体" w:eastAsia="黑体" w:hAnsi="黑体" w:cs="黑体"/>
          <w:sz w:val="32"/>
          <w:szCs w:val="32"/>
        </w:rPr>
      </w:pPr>
      <w:r>
        <w:rPr>
          <w:rFonts w:eastAsia="仿宋_GB2312" w:hint="eastAsia"/>
          <w:b/>
          <w:bCs/>
          <w:sz w:val="32"/>
          <w:szCs w:val="32"/>
        </w:rPr>
        <w:t>第四条</w:t>
      </w:r>
      <w:r>
        <w:rPr>
          <w:rFonts w:ascii="仿宋_GB2312" w:eastAsia="仿宋_GB2312" w:hAnsi="仿宋_GB2312" w:cs="仿宋_GB2312" w:hint="eastAsia"/>
          <w:sz w:val="32"/>
          <w:szCs w:val="32"/>
        </w:rPr>
        <w:t xml:space="preserve">  办理程序</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（一）申请。转入市直属义务教育阶段学校的，由人才向市教育部门提出申请，转入县区义务教育阶段学校的，向县区教育部门提出申请。转入普通高中学校的，向拟转入学校上级教育主管部门提出申请。</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申请时需提供材料：户籍证明；居住证明；高层次人才证明和子女入学申请、身份证明等相关材料。</w:t>
      </w:r>
    </w:p>
    <w:p w:rsidR="00675BF5" w:rsidRDefault="00FD06EA">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（二）审核入学。各地教育部门和学校审核后，对符合条件的学生提出安排意见，并通知家长办理入学手续。转学时，须提供学生学籍档案，并按规定办理转学手续。</w:t>
      </w:r>
    </w:p>
    <w:p w:rsidR="00675BF5" w:rsidRDefault="00FD06EA" w:rsidP="00600480">
      <w:pPr>
        <w:spacing w:line="580" w:lineRule="exact"/>
        <w:ind w:firstLineChars="200" w:firstLine="643"/>
        <w:rPr>
          <w:rFonts w:ascii="仿宋_GB2312" w:eastAsia="仿宋_GB2312" w:hAnsi="仿宋_GB2312" w:cs="仿宋_GB2312"/>
          <w:sz w:val="32"/>
          <w:szCs w:val="32"/>
        </w:rPr>
      </w:pPr>
      <w:r>
        <w:rPr>
          <w:rFonts w:eastAsia="仿宋_GB2312" w:hint="eastAsia"/>
          <w:b/>
          <w:bCs/>
          <w:sz w:val="32"/>
          <w:szCs w:val="32"/>
        </w:rPr>
        <w:t>第五条</w:t>
      </w:r>
      <w:r>
        <w:rPr>
          <w:rFonts w:eastAsia="仿宋_GB2312" w:hint="eastAsia"/>
          <w:b/>
          <w:bCs/>
          <w:sz w:val="32"/>
          <w:szCs w:val="32"/>
        </w:rPr>
        <w:t xml:space="preserve">  </w:t>
      </w:r>
      <w:r>
        <w:rPr>
          <w:rFonts w:ascii="仿宋_GB2312" w:eastAsia="仿宋_GB2312" w:hAnsi="仿宋_GB2312" w:cs="仿宋_GB2312" w:hint="eastAsia"/>
          <w:sz w:val="32"/>
          <w:szCs w:val="32"/>
        </w:rPr>
        <w:t>市教育体育局设立服务窗口，明确专人协调落实有关政策待遇，实施一站式服务。</w:t>
      </w:r>
    </w:p>
    <w:p w:rsidR="00675BF5" w:rsidRDefault="00FD06EA" w:rsidP="00600480">
      <w:pPr>
        <w:spacing w:line="580" w:lineRule="exact"/>
        <w:ind w:firstLineChars="200" w:firstLine="643"/>
        <w:rPr>
          <w:rFonts w:ascii="仿宋_GB2312" w:eastAsia="仿宋_GB2312" w:hAnsi="仿宋_GB2312" w:cs="仿宋_GB2312"/>
          <w:sz w:val="32"/>
          <w:szCs w:val="32"/>
        </w:rPr>
      </w:pPr>
      <w:r>
        <w:rPr>
          <w:rFonts w:eastAsia="仿宋_GB2312" w:hint="eastAsia"/>
          <w:b/>
          <w:bCs/>
          <w:sz w:val="32"/>
          <w:szCs w:val="32"/>
        </w:rPr>
        <w:t>第六条</w:t>
      </w:r>
      <w:r>
        <w:rPr>
          <w:rFonts w:ascii="仿宋_GB2312" w:eastAsia="仿宋_GB2312" w:hAnsi="仿宋_GB2312" w:cs="仿宋_GB2312" w:hint="eastAsia"/>
          <w:sz w:val="32"/>
          <w:szCs w:val="32"/>
        </w:rPr>
        <w:t xml:space="preserve">  本办法自发布之日起实施，执行过程中涉及的问题由市教育体育局解释。</w:t>
      </w:r>
    </w:p>
    <w:p w:rsidR="00675BF5" w:rsidRDefault="00675BF5">
      <w:pPr>
        <w:spacing w:line="580" w:lineRule="exact"/>
        <w:ind w:firstLineChars="200" w:firstLine="640"/>
        <w:rPr>
          <w:rFonts w:ascii="仿宋_GB2312" w:eastAsia="仿宋_GB2312" w:hAnsi="仿宋_GB2312" w:cs="仿宋_GB2312"/>
          <w:sz w:val="32"/>
          <w:szCs w:val="32"/>
        </w:rPr>
      </w:pPr>
    </w:p>
    <w:p w:rsidR="00675BF5" w:rsidRDefault="00675BF5">
      <w:pPr>
        <w:spacing w:line="580" w:lineRule="exact"/>
        <w:ind w:firstLineChars="200" w:firstLine="640"/>
        <w:rPr>
          <w:rFonts w:ascii="仿宋_GB2312" w:eastAsia="仿宋_GB2312" w:hAnsi="仿宋_GB2312" w:cs="仿宋_GB2312"/>
          <w:sz w:val="32"/>
          <w:szCs w:val="32"/>
        </w:rPr>
      </w:pPr>
    </w:p>
    <w:p w:rsidR="00675BF5" w:rsidRDefault="00675BF5">
      <w:pPr>
        <w:spacing w:line="580" w:lineRule="exact"/>
        <w:ind w:firstLineChars="200" w:firstLine="640"/>
        <w:rPr>
          <w:rFonts w:ascii="仿宋_GB2312" w:eastAsia="仿宋_GB2312" w:hAnsi="仿宋_GB2312" w:cs="仿宋_GB2312"/>
          <w:sz w:val="32"/>
          <w:szCs w:val="32"/>
        </w:rPr>
      </w:pPr>
    </w:p>
    <w:p w:rsidR="00675BF5" w:rsidRDefault="00FD06EA">
      <w:pPr>
        <w:spacing w:line="58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信阳市高层次人才认定分类及标准</w:t>
      </w:r>
    </w:p>
    <w:p w:rsidR="00675BF5" w:rsidRDefault="00675BF5">
      <w:pPr>
        <w:spacing w:line="580" w:lineRule="exact"/>
        <w:rPr>
          <w:rFonts w:ascii="仿宋_GB2312" w:eastAsia="仿宋_GB2312" w:hAnsi="仿宋"/>
          <w:sz w:val="32"/>
          <w:szCs w:val="32"/>
        </w:rPr>
      </w:pPr>
    </w:p>
    <w:p w:rsidR="00675BF5" w:rsidRDefault="00FD06EA">
      <w:pPr>
        <w:spacing w:line="580" w:lineRule="exact"/>
        <w:ind w:firstLineChars="200" w:firstLine="640"/>
        <w:rPr>
          <w:rFonts w:ascii="仿宋_GB2312" w:eastAsia="仿宋_GB2312" w:hAnsi="仿宋" w:cs="Times New Roman"/>
          <w:sz w:val="32"/>
          <w:szCs w:val="32"/>
        </w:rPr>
      </w:pPr>
      <w:r>
        <w:rPr>
          <w:rFonts w:ascii="仿宋_GB2312" w:eastAsia="仿宋_GB2312" w:hAnsi="仿宋" w:hint="eastAsia"/>
          <w:sz w:val="32"/>
          <w:szCs w:val="32"/>
        </w:rPr>
        <w:t>根据中共信阳市委人才工作委员会关于印发《信阳市高层次人才认定和支持办法》的通知（信人才〔2021〕3号）精神，</w:t>
      </w:r>
      <w:r>
        <w:rPr>
          <w:rFonts w:ascii="仿宋_GB2312" w:eastAsia="仿宋_GB2312" w:hAnsi="仿宋" w:cs="Times New Roman"/>
          <w:sz w:val="32"/>
          <w:szCs w:val="32"/>
        </w:rPr>
        <w:t>高层次人才认定分为</w:t>
      </w:r>
      <w:r>
        <w:rPr>
          <w:rFonts w:ascii="仿宋_GB2312" w:eastAsia="仿宋_GB2312" w:hAnsi="仿宋" w:cs="Times New Roman" w:hint="eastAsia"/>
          <w:sz w:val="32"/>
          <w:szCs w:val="32"/>
        </w:rPr>
        <w:t>5</w:t>
      </w:r>
      <w:r>
        <w:rPr>
          <w:rFonts w:ascii="仿宋_GB2312" w:eastAsia="仿宋_GB2312" w:hAnsi="仿宋" w:cs="Times New Roman"/>
          <w:sz w:val="32"/>
          <w:szCs w:val="32"/>
        </w:rPr>
        <w:t>个层次：顶尖人才(A类人才)、领军人才(B类人才)和拔尖人才(C类人才)</w:t>
      </w:r>
      <w:r>
        <w:rPr>
          <w:rFonts w:ascii="仿宋_GB2312" w:eastAsia="仿宋_GB2312" w:hAnsi="仿宋" w:cs="Times New Roman" w:hint="eastAsia"/>
          <w:sz w:val="32"/>
          <w:szCs w:val="32"/>
        </w:rPr>
        <w:t>、骨干人才（D类人才）、青年人才（E类人才）。</w:t>
      </w:r>
      <w:r>
        <w:rPr>
          <w:rFonts w:ascii="仿宋_GB2312" w:eastAsia="仿宋_GB2312" w:hAnsi="仿宋" w:cs="Times New Roman"/>
          <w:sz w:val="32"/>
          <w:szCs w:val="32"/>
        </w:rPr>
        <w:t>具体标准如下：</w:t>
      </w:r>
    </w:p>
    <w:p w:rsidR="00675BF5" w:rsidRDefault="00FD06EA" w:rsidP="00600480">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3"/>
        <w:jc w:val="both"/>
        <w:rPr>
          <w:rFonts w:ascii="仿宋_GB2312" w:eastAsia="仿宋_GB2312" w:hAnsi="仿宋" w:cs="Times New Roman"/>
          <w:kern w:val="2"/>
          <w:sz w:val="32"/>
          <w:szCs w:val="32"/>
        </w:rPr>
      </w:pPr>
      <w:r>
        <w:rPr>
          <w:rFonts w:ascii="仿宋_GB2312" w:eastAsia="仿宋_GB2312" w:hAnsi="仿宋" w:cs="Times New Roman"/>
          <w:b/>
          <w:bCs/>
          <w:kern w:val="2"/>
          <w:sz w:val="32"/>
          <w:szCs w:val="32"/>
        </w:rPr>
        <w:t>A类人才应符合下列标准之一</w:t>
      </w:r>
      <w:r>
        <w:rPr>
          <w:rFonts w:ascii="仿宋_GB2312" w:eastAsia="仿宋_GB2312" w:hAnsi="仿宋" w:cs="Times New Roman"/>
          <w:kern w:val="2"/>
          <w:sz w:val="32"/>
          <w:szCs w:val="32"/>
        </w:rPr>
        <w:t>：</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1.诺贝尔奖获得者(物理、化学、生理或医学、文学、经济学奖)；国家最高科学技术奖获得者。</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2.中国科学院院士、中国工程院院士。</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美国、英国、德国、法国、日本、意大利、加拿大、瑞典、丹麦、挪威、芬兰、比利时、瑞士、奥地利、荷兰、澳大利亚、新西兰、俄罗斯、新加坡、韩国、西班牙、以色列等发达国家相当于院士的最高学术权威机构会员(成员或高级成员)。</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4.国家</w:t>
      </w:r>
      <w:r>
        <w:rPr>
          <w:rFonts w:ascii="仿宋_GB2312" w:eastAsia="仿宋_GB2312" w:hAnsi="仿宋" w:cs="Times New Roman" w:hint="eastAsia"/>
          <w:kern w:val="2"/>
          <w:sz w:val="32"/>
          <w:szCs w:val="32"/>
        </w:rPr>
        <w:t>重点人才计划</w:t>
      </w:r>
      <w:r>
        <w:rPr>
          <w:rFonts w:ascii="仿宋_GB2312" w:eastAsia="仿宋_GB2312" w:hAnsi="仿宋" w:cs="Times New Roman"/>
          <w:kern w:val="2"/>
          <w:sz w:val="32"/>
          <w:szCs w:val="32"/>
        </w:rPr>
        <w:t>杰出人才人选。</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5.担任过下列职务之一者：国际著名金融机构首席执行官或首席专家，国际著名会计师事务所首席执行官；国际著名学术组织主席或副主席；国际标准组织(ISO)标样委员会委员。</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6.相当于上述层次的其他顶尖人才。</w:t>
      </w:r>
    </w:p>
    <w:p w:rsidR="00675BF5" w:rsidRDefault="00FD06EA" w:rsidP="00600480">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3"/>
        <w:jc w:val="both"/>
        <w:rPr>
          <w:rFonts w:ascii="仿宋_GB2312" w:eastAsia="仿宋_GB2312" w:hAnsi="仿宋" w:cs="Times New Roman"/>
          <w:kern w:val="2"/>
          <w:sz w:val="32"/>
          <w:szCs w:val="32"/>
        </w:rPr>
      </w:pPr>
      <w:r>
        <w:rPr>
          <w:rFonts w:ascii="仿宋_GB2312" w:eastAsia="仿宋_GB2312" w:hAnsi="仿宋" w:cs="Times New Roman"/>
          <w:b/>
          <w:bCs/>
          <w:kern w:val="2"/>
          <w:sz w:val="32"/>
          <w:szCs w:val="32"/>
        </w:rPr>
        <w:t>B类人才应符合下列标准之一：</w:t>
      </w:r>
    </w:p>
    <w:p w:rsidR="00675BF5" w:rsidRDefault="00FD06EA">
      <w:pPr>
        <w:pStyle w:val="a6"/>
        <w:widowControl w:val="0"/>
        <w:shd w:val="clear" w:color="auto" w:fill="FFFFFF"/>
        <w:overflowPunct w:val="0"/>
        <w:topLinePunct/>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1.入选以下计划或获得下列资助、荣誉称号之一者：国家</w:t>
      </w:r>
      <w:r>
        <w:rPr>
          <w:rFonts w:ascii="仿宋_GB2312" w:eastAsia="仿宋_GB2312" w:hAnsi="仿宋" w:cs="Times New Roman" w:hint="eastAsia"/>
          <w:kern w:val="2"/>
          <w:sz w:val="32"/>
          <w:szCs w:val="32"/>
        </w:rPr>
        <w:t>重点人才计划</w:t>
      </w:r>
      <w:r>
        <w:rPr>
          <w:rFonts w:ascii="仿宋_GB2312" w:eastAsia="仿宋_GB2312" w:hAnsi="仿宋" w:cs="Times New Roman"/>
          <w:kern w:val="2"/>
          <w:sz w:val="32"/>
          <w:szCs w:val="32"/>
        </w:rPr>
        <w:t>人选；国家</w:t>
      </w:r>
      <w:r>
        <w:rPr>
          <w:rFonts w:ascii="仿宋_GB2312" w:eastAsia="仿宋_GB2312" w:hAnsi="仿宋" w:cs="Times New Roman" w:hint="eastAsia"/>
          <w:kern w:val="2"/>
          <w:sz w:val="32"/>
          <w:szCs w:val="32"/>
        </w:rPr>
        <w:t>重点人才计划</w:t>
      </w:r>
      <w:r>
        <w:rPr>
          <w:rFonts w:ascii="仿宋_GB2312" w:eastAsia="仿宋_GB2312" w:hAnsi="仿宋" w:cs="Times New Roman"/>
          <w:kern w:val="2"/>
          <w:sz w:val="32"/>
          <w:szCs w:val="32"/>
        </w:rPr>
        <w:t>领军人才；教育部</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长江学者奖励计划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特聘教授；国家杰出青年科学基金获得者；全国杰出专业技术人才；百千万人才工程国家级人选；科技部</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创新人才推进计划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人选；国家外国专家局</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首席外国专家项目</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人选；中央直接联系掌握的高级专家；中宣部文化名家暨</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四个一批</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人才。</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2.近5年获得下列奖项之一者：国家科技进步奖特等奖前5名完成人；国家自然科学奖一等奖前3名完成人；国家技术发明奖一等奖前3名完成人；国家科技进步奖一等奖前3名完成人；</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全国创新争先奖</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奖章获得者；中国专利金奖前3位专利发明人或设计人；长江学者成就奖。</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近5年担任过下列职务之一者：国家重点实验室、工程实验室、工程技术研究中心主任、首席专家；全国专业标准化技术委员会主任委员；国家科技重大专项专家组组长、副组长；国家重点研发计划项目主要负责人(国家科技支撑计划项目负责人，</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973计划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项目首席科学家，</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863计划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领域主题专家组组长、副组长、召集人)；国家自然科学基金重大项目牵头负责人；国家社会科学基金重大项目首席专家。</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4.具有下述各岗位经历之一者：世界500强企业总部董事会成员、首席技术官或技术研发负责人；国际著名金融机构、国际著名会计师事务所中层正职管理人员或技术岗位负责人；国际著名学术组织成员。</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5.省科学技术杰出贡献奖获得者；</w:t>
      </w:r>
      <w:r>
        <w:rPr>
          <w:rFonts w:ascii="仿宋_GB2312" w:eastAsia="仿宋_GB2312" w:hAnsi="仿宋" w:cs="Times New Roman" w:hint="eastAsia"/>
          <w:kern w:val="2"/>
          <w:sz w:val="32"/>
          <w:szCs w:val="32"/>
        </w:rPr>
        <w:t>省海外高层次人才引进计划</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“中原英才计划”）人选；省高层次人才特殊支持计划</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“中原英才计划”）人选</w:t>
      </w:r>
      <w:r>
        <w:rPr>
          <w:rFonts w:ascii="仿宋_GB2312" w:eastAsia="仿宋_GB2312" w:hAnsi="仿宋" w:cs="Times New Roman"/>
          <w:kern w:val="2"/>
          <w:sz w:val="32"/>
          <w:szCs w:val="32"/>
        </w:rPr>
        <w:t>。</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6.相当于上述层次的其他领军人才。</w:t>
      </w:r>
    </w:p>
    <w:p w:rsidR="00675BF5" w:rsidRDefault="00FD06EA" w:rsidP="00600480">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3"/>
        <w:jc w:val="both"/>
        <w:rPr>
          <w:rFonts w:ascii="仿宋_GB2312" w:eastAsia="仿宋_GB2312" w:hAnsi="仿宋" w:cs="Times New Roman"/>
          <w:b/>
          <w:bCs/>
          <w:kern w:val="2"/>
          <w:sz w:val="32"/>
          <w:szCs w:val="32"/>
        </w:rPr>
      </w:pPr>
      <w:r>
        <w:rPr>
          <w:rFonts w:ascii="仿宋_GB2312" w:eastAsia="仿宋_GB2312" w:hAnsi="仿宋" w:cs="Times New Roman"/>
          <w:b/>
          <w:bCs/>
          <w:kern w:val="2"/>
          <w:sz w:val="32"/>
          <w:szCs w:val="32"/>
        </w:rPr>
        <w:t>C类人才应符合下列标准之一：</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1.入选以下计划或获得下列资助、荣誉称号之一者：国家</w:t>
      </w:r>
      <w:r>
        <w:rPr>
          <w:rFonts w:ascii="仿宋_GB2312" w:eastAsia="仿宋_GB2312" w:hAnsi="仿宋" w:cs="Times New Roman" w:hint="eastAsia"/>
          <w:kern w:val="2"/>
          <w:sz w:val="32"/>
          <w:szCs w:val="32"/>
        </w:rPr>
        <w:t>重点人才计划</w:t>
      </w:r>
      <w:r>
        <w:rPr>
          <w:rFonts w:ascii="仿宋_GB2312" w:eastAsia="仿宋_GB2312" w:hAnsi="仿宋" w:cs="Times New Roman"/>
          <w:kern w:val="2"/>
          <w:sz w:val="32"/>
          <w:szCs w:val="32"/>
        </w:rPr>
        <w:t>青年项目人选；国家</w:t>
      </w:r>
      <w:r>
        <w:rPr>
          <w:rFonts w:ascii="仿宋_GB2312" w:eastAsia="仿宋_GB2312" w:hAnsi="仿宋" w:cs="Times New Roman" w:hint="eastAsia"/>
          <w:kern w:val="2"/>
          <w:sz w:val="32"/>
          <w:szCs w:val="32"/>
        </w:rPr>
        <w:t>重点人才计划</w:t>
      </w:r>
      <w:r>
        <w:rPr>
          <w:rFonts w:ascii="仿宋_GB2312" w:eastAsia="仿宋_GB2312" w:hAnsi="仿宋" w:cs="Times New Roman"/>
          <w:kern w:val="2"/>
          <w:sz w:val="32"/>
          <w:szCs w:val="32"/>
        </w:rPr>
        <w:t xml:space="preserve">青年拔尖人才； </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长江学者奖励计划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青年学者；国家优秀青年科学基金获得者；享受国务院政府特殊津贴专家；国家外国专家局</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高端外国专家项目</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重点外国专家项目</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人选；全国知识产权领军人才；全国会计领军人才；中国工艺美术大师。</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2.近5年获得下列奖项之一者：国家自然科学奖二等奖前3名完成人；国家技术发明奖二等奖前3名完成人；国家科技进步奖二等奖前3名完成人；省部级科学技术进步奖一等奖前3名完成人；</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全国创新争先奖</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奖状获得者；教育部高等学校科学研究优秀成果奖(人文社会科学)一、二等奖前3名完成人；中国青年科技奖；全国精神文明建设</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五个一工程</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获奖作品主创人员；中国文化艺术政府奖获奖作品主创人员和获奖个人；中国广播电视大奖获奖作品主创人员和获奖个人；中国文联12个奖项获奖作品主创人员和获奖个人；中国作协4个奖项获奖个人；长江韬奋奖、中国出版政府奖优秀出版人物奖、中国新闻奖一等奖获得者或主要作者；中国播音主持</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金话筒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奖获奖主持人。</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近5年担任过下列职务之一者：国家重点实验室、工程实验室、工程技术研究中心副主任前2名；国家科技重大专项专家组成员、项目分课题组长；国家重点研发计划项目负责人(国家科技支撑计划课题第一负责人，</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973计划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项目首席科学家助理、课题组第一负责人，</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863计划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主题项目或重大项目首席专家，专题组组长、副组长)；国家自然科学基金重点项目负责人；国家社会科学基金优秀成果项目第一负责人；全国专业标准化技术委员会副主任委员；省级重点实验室、工程技术研究中心、工程实验室(工程研究中心)主任；世界500强企业二级公司或地区总部高管及技术研发负责人；全国知名学会会长、副会长。</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4.省优秀专家；省杰出专业技术人才；省科技创新杰出人才和杰出青年；享受省政府特殊津贴人员；省学术技术带头人；省特聘教授；省特聘研究员；省职业教育教学专家；省</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国际人才合作项目计划</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外国专家人选；省会计领军人才；省文学艺术优秀成果奖获奖作品主创人员。</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5.近5年，获得</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中华技能大奖</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全国技术能手</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或</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中原技能大奖</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荣誉称号的技术技能型、复合技能型高技能人才。</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6.相当于上述层次的其他拔尖人才。</w:t>
      </w:r>
    </w:p>
    <w:p w:rsidR="00675BF5" w:rsidRDefault="00FD06EA" w:rsidP="00600480">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3"/>
        <w:jc w:val="both"/>
        <w:rPr>
          <w:rFonts w:ascii="仿宋_GB2312" w:eastAsia="仿宋_GB2312" w:hAnsi="仿宋" w:cs="Times New Roman"/>
          <w:b/>
          <w:bCs/>
          <w:kern w:val="2"/>
          <w:sz w:val="32"/>
          <w:szCs w:val="32"/>
        </w:rPr>
      </w:pPr>
      <w:r>
        <w:rPr>
          <w:rFonts w:ascii="仿宋_GB2312" w:eastAsia="仿宋_GB2312" w:hAnsi="仿宋" w:cs="Times New Roman" w:hint="eastAsia"/>
          <w:b/>
          <w:bCs/>
          <w:kern w:val="2"/>
          <w:sz w:val="32"/>
          <w:szCs w:val="32"/>
        </w:rPr>
        <w:t>D类人才应符合下列标准之一：</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1.市政府特殊津贴专家；市级拔尖人才；市级学术技术带头人；具有正高级专业技术职务任职资格，并做为主要成员承担过市级以上研究课题或成果获市级以上奖励的专业技术人才。</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2.近5年获得省部级科学技术进步奖二等奖前2名完成人。</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3.近5年担任过下列职务之一者：省级重大科技专项项目负责人；省制造业创新中心负责人；中国500强企业二级公司或地区总部经营管理及技术研发主要负责人，或在国内行业20强以内知名企业担任副总经理及以上职务，或担任行政总监、人力资源总监、财务总监、资本运营总监、营销总监等职务的高层次管理人才，在相关领域有5年以上工作经验。</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4.</w:t>
      </w:r>
      <w:r>
        <w:rPr>
          <w:rFonts w:ascii="仿宋_GB2312" w:eastAsia="仿宋_GB2312" w:hAnsi="仿宋" w:cs="Times New Roman" w:hint="eastAsia"/>
          <w:kern w:val="2"/>
          <w:sz w:val="32"/>
          <w:szCs w:val="32"/>
        </w:rPr>
        <w:t> </w:t>
      </w:r>
      <w:r>
        <w:rPr>
          <w:rFonts w:ascii="仿宋_GB2312" w:eastAsia="仿宋_GB2312" w:hAnsi="仿宋" w:cs="Times New Roman" w:hint="eastAsia"/>
          <w:kern w:val="2"/>
          <w:sz w:val="32"/>
          <w:szCs w:val="32"/>
        </w:rPr>
        <w:t>相当于上述层次的其他骨干人才。</w:t>
      </w:r>
    </w:p>
    <w:p w:rsidR="00675BF5" w:rsidRDefault="00FD06EA" w:rsidP="00600480">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3"/>
        <w:jc w:val="both"/>
        <w:rPr>
          <w:rFonts w:ascii="仿宋_GB2312" w:eastAsia="仿宋_GB2312" w:hAnsi="仿宋" w:cs="Times New Roman"/>
          <w:kern w:val="2"/>
          <w:sz w:val="32"/>
          <w:szCs w:val="32"/>
        </w:rPr>
      </w:pPr>
      <w:r>
        <w:rPr>
          <w:rFonts w:ascii="仿宋_GB2312" w:eastAsia="仿宋_GB2312" w:hAnsi="仿宋" w:cs="Times New Roman" w:hint="eastAsia"/>
          <w:b/>
          <w:bCs/>
          <w:kern w:val="2"/>
          <w:sz w:val="32"/>
          <w:szCs w:val="32"/>
        </w:rPr>
        <w:t>E类人才应符合下列标准之一：</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1.具有高级专业技术资格或具有高级技师职业资格，其中取得正高级专业技术资格的人员年龄在50周岁以下，取得副高级专业技术资格或高级技师职业资格的人员年龄在45周岁以下。</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2.国内高校全日制博士研究生、硕士研究生、“双一流”全日制高校本科生</w:t>
      </w:r>
      <w:r>
        <w:rPr>
          <w:rFonts w:hint="eastAsia"/>
          <w:kern w:val="2"/>
          <w:sz w:val="32"/>
          <w:szCs w:val="32"/>
        </w:rPr>
        <w:t>，</w:t>
      </w:r>
      <w:r>
        <w:rPr>
          <w:rFonts w:ascii="仿宋_GB2312" w:eastAsia="仿宋_GB2312" w:hAnsi="仿宋" w:cs="Times New Roman" w:hint="eastAsia"/>
          <w:kern w:val="2"/>
          <w:sz w:val="32"/>
          <w:szCs w:val="32"/>
        </w:rPr>
        <w:t>教育部留学服务中心认可的具有相当学历学位的归国留学人员，年龄在35周岁以下。</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3.不受学历和职称限制，拥有与我市重点领域结合紧密的自主知识产权、科技成果、发明专利或独门技术，具备突破重大技术、解决关键问题的能力，属于我市经济社会发展急需的实用型人才，以及有国内外知名企业5年及以上的中高管经理来我市担任规模以上企业（公司）总经理（总裁）的职业经理人等。</w:t>
      </w:r>
    </w:p>
    <w:p w:rsidR="00675BF5" w:rsidRDefault="00FD06EA">
      <w:pPr>
        <w:pStyle w:val="a6"/>
        <w:widowControl w:val="0"/>
        <w:shd w:val="clear" w:color="auto" w:fill="FFFFFF"/>
        <w:overflowPunct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4</w:t>
      </w:r>
      <w:r>
        <w:rPr>
          <w:rFonts w:ascii="仿宋_GB2312" w:eastAsia="仿宋_GB2312" w:hAnsi="仿宋" w:cs="Times New Roman" w:hint="eastAsia"/>
          <w:kern w:val="2"/>
          <w:sz w:val="32"/>
          <w:szCs w:val="32"/>
        </w:rPr>
        <w:t>.相当于上述层次的其他青年人才。</w:t>
      </w:r>
    </w:p>
    <w:p w:rsidR="00675BF5" w:rsidRDefault="00FD06EA">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根据我市产业发展和人才需求状况，以上标准可适时调整并实行动态发布。</w:t>
      </w:r>
    </w:p>
    <w:p w:rsidR="00675BF5" w:rsidRDefault="00FD06EA">
      <w:pPr>
        <w:pStyle w:val="a6"/>
        <w:spacing w:beforeAutospacing="0" w:afterAutospacing="0" w:line="580" w:lineRule="exact"/>
        <w:ind w:firstLineChars="200" w:firstLine="880"/>
        <w:jc w:val="both"/>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信阳市引进高层次人才子女入学申报表</w:t>
      </w:r>
    </w:p>
    <w:p w:rsidR="00675BF5" w:rsidRDefault="00675BF5">
      <w:pPr>
        <w:pStyle w:val="a6"/>
        <w:spacing w:beforeAutospacing="0" w:afterAutospacing="0" w:line="300" w:lineRule="exact"/>
        <w:ind w:firstLineChars="200" w:firstLine="880"/>
        <w:jc w:val="center"/>
        <w:rPr>
          <w:rFonts w:ascii="方正小标宋简体" w:eastAsia="方正小标宋简体" w:hAnsi="方正小标宋简体" w:cs="方正小标宋简体"/>
          <w:color w:val="000000"/>
          <w:sz w:val="44"/>
          <w:szCs w:val="44"/>
        </w:rPr>
      </w:pPr>
    </w:p>
    <w:tbl>
      <w:tblPr>
        <w:tblW w:w="9047" w:type="dxa"/>
        <w:tblInd w:w="15" w:type="dxa"/>
        <w:tblLayout w:type="fixed"/>
        <w:tblCellMar>
          <w:left w:w="0" w:type="dxa"/>
          <w:right w:w="0" w:type="dxa"/>
        </w:tblCellMar>
        <w:tblLook w:val="04A0" w:firstRow="1" w:lastRow="0" w:firstColumn="1" w:lastColumn="0" w:noHBand="0" w:noVBand="1"/>
      </w:tblPr>
      <w:tblGrid>
        <w:gridCol w:w="902"/>
        <w:gridCol w:w="705"/>
        <w:gridCol w:w="465"/>
        <w:gridCol w:w="1148"/>
        <w:gridCol w:w="292"/>
        <w:gridCol w:w="764"/>
        <w:gridCol w:w="226"/>
        <w:gridCol w:w="465"/>
        <w:gridCol w:w="1035"/>
        <w:gridCol w:w="1050"/>
        <w:gridCol w:w="1995"/>
      </w:tblGrid>
      <w:tr w:rsidR="00675BF5">
        <w:trPr>
          <w:trHeight w:val="571"/>
        </w:trPr>
        <w:tc>
          <w:tcPr>
            <w:tcW w:w="902" w:type="dxa"/>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高层</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次人</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才基</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本情</w:t>
            </w:r>
          </w:p>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况</w:t>
            </w:r>
          </w:p>
        </w:tc>
        <w:tc>
          <w:tcPr>
            <w:tcW w:w="1170"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姓  名</w:t>
            </w:r>
          </w:p>
        </w:tc>
        <w:tc>
          <w:tcPr>
            <w:tcW w:w="1440"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990"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性  别</w:t>
            </w:r>
          </w:p>
        </w:tc>
        <w:tc>
          <w:tcPr>
            <w:tcW w:w="1500"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1050" w:type="dxa"/>
            <w:tcBorders>
              <w:top w:val="single" w:sz="12"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藉  贯</w:t>
            </w:r>
          </w:p>
        </w:tc>
        <w:tc>
          <w:tcPr>
            <w:tcW w:w="1995" w:type="dxa"/>
            <w:tcBorders>
              <w:top w:val="single" w:sz="12"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619"/>
        </w:trPr>
        <w:tc>
          <w:tcPr>
            <w:tcW w:w="902" w:type="dxa"/>
            <w:vMerge/>
            <w:tcBorders>
              <w:top w:val="single" w:sz="12" w:space="0" w:color="auto"/>
              <w:left w:val="single" w:sz="12" w:space="0" w:color="auto"/>
              <w:bottom w:val="single" w:sz="8" w:space="0" w:color="auto"/>
              <w:right w:val="single" w:sz="8" w:space="0" w:color="auto"/>
            </w:tcBorders>
            <w:shd w:val="clear" w:color="auto" w:fill="auto"/>
            <w:vAlign w:val="center"/>
          </w:tcPr>
          <w:p w:rsidR="00675BF5" w:rsidRDefault="00675BF5">
            <w:pPr>
              <w:spacing w:line="400" w:lineRule="exact"/>
              <w:rPr>
                <w:rFonts w:ascii="宋体"/>
                <w:szCs w:val="21"/>
              </w:rPr>
            </w:pPr>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出生年月</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学  历</w:t>
            </w:r>
          </w:p>
        </w:tc>
        <w:tc>
          <w:tcPr>
            <w:tcW w:w="15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职  称</w:t>
            </w:r>
          </w:p>
        </w:tc>
        <w:tc>
          <w:tcPr>
            <w:tcW w:w="1995" w:type="dxa"/>
            <w:tcBorders>
              <w:top w:val="single" w:sz="8"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614"/>
        </w:trPr>
        <w:tc>
          <w:tcPr>
            <w:tcW w:w="902" w:type="dxa"/>
            <w:vMerge/>
            <w:tcBorders>
              <w:top w:val="single" w:sz="12" w:space="0" w:color="auto"/>
              <w:left w:val="single" w:sz="12" w:space="0" w:color="auto"/>
              <w:bottom w:val="single" w:sz="8" w:space="0" w:color="auto"/>
              <w:right w:val="single" w:sz="8" w:space="0" w:color="auto"/>
            </w:tcBorders>
            <w:shd w:val="clear" w:color="auto" w:fill="auto"/>
            <w:vAlign w:val="center"/>
          </w:tcPr>
          <w:p w:rsidR="00675BF5" w:rsidRDefault="00675BF5">
            <w:pPr>
              <w:spacing w:line="400" w:lineRule="exact"/>
              <w:rPr>
                <w:rFonts w:ascii="宋体"/>
                <w:szCs w:val="21"/>
              </w:rPr>
            </w:pPr>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人才类型</w:t>
            </w:r>
          </w:p>
        </w:tc>
        <w:tc>
          <w:tcPr>
            <w:tcW w:w="393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职  务</w:t>
            </w:r>
          </w:p>
        </w:tc>
        <w:tc>
          <w:tcPr>
            <w:tcW w:w="1995" w:type="dxa"/>
            <w:tcBorders>
              <w:top w:val="single" w:sz="8"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614"/>
        </w:trPr>
        <w:tc>
          <w:tcPr>
            <w:tcW w:w="902" w:type="dxa"/>
            <w:vMerge/>
            <w:tcBorders>
              <w:top w:val="single" w:sz="12" w:space="0" w:color="auto"/>
              <w:left w:val="single" w:sz="12" w:space="0" w:color="auto"/>
              <w:bottom w:val="single" w:sz="8" w:space="0" w:color="auto"/>
              <w:right w:val="single" w:sz="8" w:space="0" w:color="auto"/>
            </w:tcBorders>
            <w:shd w:val="clear" w:color="auto" w:fill="auto"/>
            <w:vAlign w:val="center"/>
          </w:tcPr>
          <w:p w:rsidR="00675BF5" w:rsidRDefault="00675BF5">
            <w:pPr>
              <w:spacing w:line="400" w:lineRule="exact"/>
              <w:rPr>
                <w:rFonts w:ascii="宋体"/>
                <w:szCs w:val="21"/>
              </w:rPr>
            </w:pPr>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所在单位</w:t>
            </w:r>
          </w:p>
        </w:tc>
        <w:tc>
          <w:tcPr>
            <w:tcW w:w="393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联系电话</w:t>
            </w:r>
          </w:p>
        </w:tc>
        <w:tc>
          <w:tcPr>
            <w:tcW w:w="1995" w:type="dxa"/>
            <w:tcBorders>
              <w:top w:val="single" w:sz="8"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602"/>
        </w:trPr>
        <w:tc>
          <w:tcPr>
            <w:tcW w:w="902" w:type="dxa"/>
            <w:vMerge/>
            <w:tcBorders>
              <w:top w:val="single" w:sz="12" w:space="0" w:color="auto"/>
              <w:left w:val="single" w:sz="12" w:space="0" w:color="auto"/>
              <w:bottom w:val="single" w:sz="8" w:space="0" w:color="auto"/>
              <w:right w:val="single" w:sz="8" w:space="0" w:color="auto"/>
            </w:tcBorders>
            <w:shd w:val="clear" w:color="auto" w:fill="auto"/>
            <w:vAlign w:val="center"/>
          </w:tcPr>
          <w:p w:rsidR="00675BF5" w:rsidRDefault="00675BF5">
            <w:pPr>
              <w:spacing w:line="400" w:lineRule="exact"/>
              <w:rPr>
                <w:rFonts w:ascii="宋体"/>
                <w:szCs w:val="21"/>
              </w:rPr>
            </w:pPr>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现住址</w:t>
            </w:r>
          </w:p>
        </w:tc>
        <w:tc>
          <w:tcPr>
            <w:tcW w:w="6975" w:type="dxa"/>
            <w:gridSpan w:val="8"/>
            <w:tcBorders>
              <w:top w:val="single" w:sz="8"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604"/>
        </w:trPr>
        <w:tc>
          <w:tcPr>
            <w:tcW w:w="902"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高层</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次人</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才子</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女基</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本情</w:t>
            </w:r>
          </w:p>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况</w:t>
            </w:r>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姓  名</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性  别</w:t>
            </w:r>
          </w:p>
        </w:tc>
        <w:tc>
          <w:tcPr>
            <w:tcW w:w="15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出生年月</w:t>
            </w:r>
          </w:p>
        </w:tc>
        <w:tc>
          <w:tcPr>
            <w:tcW w:w="1995" w:type="dxa"/>
            <w:tcBorders>
              <w:top w:val="single" w:sz="8"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2443"/>
        </w:trPr>
        <w:tc>
          <w:tcPr>
            <w:tcW w:w="902"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75BF5" w:rsidRDefault="00675BF5">
            <w:pPr>
              <w:spacing w:line="400" w:lineRule="exact"/>
              <w:rPr>
                <w:rFonts w:ascii="宋体"/>
                <w:szCs w:val="21"/>
              </w:rPr>
            </w:pP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学</w:t>
            </w:r>
          </w:p>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习</w:t>
            </w:r>
          </w:p>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简</w:t>
            </w:r>
          </w:p>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历</w:t>
            </w:r>
          </w:p>
        </w:tc>
        <w:tc>
          <w:tcPr>
            <w:tcW w:w="7440" w:type="dxa"/>
            <w:gridSpan w:val="9"/>
            <w:tcBorders>
              <w:top w:val="single" w:sz="8"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628"/>
        </w:trPr>
        <w:tc>
          <w:tcPr>
            <w:tcW w:w="902"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75BF5" w:rsidRDefault="00675BF5">
            <w:pPr>
              <w:spacing w:line="400" w:lineRule="exact"/>
              <w:rPr>
                <w:rFonts w:ascii="宋体"/>
                <w:szCs w:val="21"/>
              </w:rPr>
            </w:pPr>
          </w:p>
        </w:tc>
        <w:tc>
          <w:tcPr>
            <w:tcW w:w="23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拟申请就读学校</w:t>
            </w:r>
          </w:p>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及年级</w:t>
            </w:r>
          </w:p>
        </w:tc>
        <w:tc>
          <w:tcPr>
            <w:tcW w:w="5827"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rsidR="00675BF5" w:rsidRDefault="00675BF5">
            <w:pPr>
              <w:pStyle w:val="a6"/>
              <w:spacing w:beforeAutospacing="0" w:afterAutospacing="0" w:line="400" w:lineRule="exact"/>
              <w:jc w:val="center"/>
              <w:rPr>
                <w:sz w:val="21"/>
                <w:szCs w:val="21"/>
              </w:rPr>
            </w:pPr>
          </w:p>
        </w:tc>
      </w:tr>
      <w:tr w:rsidR="00675BF5">
        <w:trPr>
          <w:trHeight w:val="3466"/>
        </w:trPr>
        <w:tc>
          <w:tcPr>
            <w:tcW w:w="902" w:type="dxa"/>
            <w:tcBorders>
              <w:top w:val="single" w:sz="8" w:space="0" w:color="auto"/>
              <w:left w:val="single" w:sz="12" w:space="0" w:color="auto"/>
              <w:bottom w:val="single" w:sz="12"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rFonts w:asciiTheme="minorEastAsia" w:hAnsiTheme="minorEastAsia" w:cstheme="minorEastAsia"/>
                <w:sz w:val="21"/>
                <w:szCs w:val="21"/>
                <w:lang w:val="zh-CN"/>
              </w:rPr>
            </w:pPr>
            <w:r>
              <w:rPr>
                <w:rFonts w:asciiTheme="minorEastAsia" w:hAnsiTheme="minorEastAsia" w:cstheme="minorEastAsia" w:hint="eastAsia"/>
                <w:sz w:val="21"/>
                <w:szCs w:val="21"/>
                <w:lang w:val="zh-CN"/>
              </w:rPr>
              <w:t>人才</w:t>
            </w:r>
          </w:p>
          <w:p w:rsidR="00675BF5" w:rsidRDefault="00FD06EA">
            <w:pPr>
              <w:pStyle w:val="a6"/>
              <w:spacing w:beforeAutospacing="0" w:afterAutospacing="0" w:line="400" w:lineRule="exact"/>
              <w:jc w:val="center"/>
              <w:rPr>
                <w:rFonts w:asciiTheme="minorEastAsia" w:hAnsiTheme="minorEastAsia" w:cstheme="minorEastAsia"/>
                <w:sz w:val="21"/>
                <w:szCs w:val="21"/>
                <w:lang w:val="zh-CN"/>
              </w:rPr>
            </w:pPr>
            <w:r>
              <w:rPr>
                <w:rFonts w:asciiTheme="minorEastAsia" w:hAnsiTheme="minorEastAsia" w:cstheme="minorEastAsia" w:hint="eastAsia"/>
                <w:sz w:val="21"/>
                <w:szCs w:val="21"/>
                <w:lang w:val="zh-CN"/>
              </w:rPr>
              <w:t>工作</w:t>
            </w:r>
          </w:p>
          <w:p w:rsidR="00675BF5" w:rsidRDefault="00FD06EA">
            <w:pPr>
              <w:pStyle w:val="a6"/>
              <w:spacing w:beforeAutospacing="0" w:afterAutospacing="0" w:line="400" w:lineRule="exact"/>
              <w:jc w:val="center"/>
              <w:rPr>
                <w:rFonts w:asciiTheme="minorEastAsia" w:hAnsiTheme="minorEastAsia" w:cstheme="minorEastAsia"/>
                <w:sz w:val="21"/>
                <w:szCs w:val="21"/>
                <w:lang w:val="zh-CN"/>
              </w:rPr>
            </w:pPr>
            <w:r>
              <w:rPr>
                <w:rFonts w:asciiTheme="minorEastAsia" w:hAnsiTheme="minorEastAsia" w:cstheme="minorEastAsia" w:hint="eastAsia"/>
                <w:sz w:val="21"/>
                <w:szCs w:val="21"/>
                <w:lang w:val="zh-CN"/>
              </w:rPr>
              <w:t>委员</w:t>
            </w:r>
          </w:p>
          <w:p w:rsidR="00675BF5" w:rsidRDefault="00FD06EA">
            <w:pPr>
              <w:pStyle w:val="a6"/>
              <w:spacing w:beforeAutospacing="0" w:afterAutospacing="0" w:line="400" w:lineRule="exact"/>
              <w:jc w:val="center"/>
              <w:rPr>
                <w:rFonts w:asciiTheme="minorEastAsia" w:hAnsiTheme="minorEastAsia" w:cstheme="minorEastAsia"/>
                <w:sz w:val="21"/>
                <w:szCs w:val="21"/>
                <w:lang w:val="zh-CN"/>
              </w:rPr>
            </w:pPr>
            <w:r>
              <w:rPr>
                <w:rFonts w:asciiTheme="minorEastAsia" w:hAnsiTheme="minorEastAsia" w:cstheme="minorEastAsia" w:hint="eastAsia"/>
                <w:sz w:val="21"/>
                <w:szCs w:val="21"/>
                <w:lang w:val="zh-CN"/>
              </w:rPr>
              <w:t>会意</w:t>
            </w:r>
          </w:p>
          <w:p w:rsidR="00675BF5" w:rsidRDefault="00FD06EA">
            <w:pPr>
              <w:pStyle w:val="a6"/>
              <w:spacing w:beforeAutospacing="0" w:afterAutospacing="0" w:line="400" w:lineRule="exact"/>
              <w:jc w:val="center"/>
              <w:rPr>
                <w:sz w:val="21"/>
                <w:szCs w:val="21"/>
              </w:rPr>
            </w:pPr>
            <w:r>
              <w:rPr>
                <w:rFonts w:asciiTheme="minorEastAsia" w:hAnsiTheme="minorEastAsia" w:cstheme="minorEastAsia" w:hint="eastAsia"/>
                <w:sz w:val="21"/>
                <w:szCs w:val="21"/>
                <w:lang w:val="zh-CN"/>
              </w:rPr>
              <w:t>见</w:t>
            </w:r>
          </w:p>
        </w:tc>
        <w:tc>
          <w:tcPr>
            <w:tcW w:w="3374" w:type="dxa"/>
            <w:gridSpan w:val="5"/>
            <w:tcBorders>
              <w:top w:val="single" w:sz="8" w:space="0" w:color="auto"/>
              <w:left w:val="single" w:sz="8" w:space="0" w:color="auto"/>
              <w:bottom w:val="single" w:sz="12" w:space="0" w:color="auto"/>
              <w:right w:val="single" w:sz="8" w:space="0" w:color="auto"/>
            </w:tcBorders>
            <w:shd w:val="clear" w:color="auto" w:fill="auto"/>
            <w:vAlign w:val="bottom"/>
          </w:tcPr>
          <w:p w:rsidR="00675BF5" w:rsidRDefault="00FD06EA">
            <w:pPr>
              <w:pStyle w:val="a6"/>
              <w:spacing w:beforeAutospacing="0" w:afterAutospacing="0" w:line="400" w:lineRule="exact"/>
              <w:ind w:right="360"/>
              <w:jc w:val="both"/>
              <w:rPr>
                <w:sz w:val="21"/>
                <w:szCs w:val="21"/>
              </w:rPr>
            </w:pPr>
            <w:r>
              <w:rPr>
                <w:rFonts w:eastAsia="宋体" w:hAnsi="Times New Roman" w:hint="eastAsia"/>
                <w:color w:val="000000"/>
                <w:sz w:val="21"/>
                <w:szCs w:val="21"/>
              </w:rPr>
              <w:t xml:space="preserve">               (盖章)</w:t>
            </w:r>
          </w:p>
          <w:p w:rsidR="00675BF5" w:rsidRDefault="00FD06EA">
            <w:pPr>
              <w:pStyle w:val="a6"/>
              <w:spacing w:beforeAutospacing="0" w:afterAutospacing="0" w:line="400" w:lineRule="exact"/>
              <w:ind w:right="360"/>
              <w:jc w:val="center"/>
              <w:rPr>
                <w:sz w:val="21"/>
                <w:szCs w:val="21"/>
              </w:rPr>
            </w:pPr>
            <w:r>
              <w:rPr>
                <w:rFonts w:eastAsia="宋体" w:hAnsi="Times New Roman" w:hint="eastAsia"/>
                <w:color w:val="000000"/>
                <w:sz w:val="21"/>
                <w:szCs w:val="21"/>
              </w:rPr>
              <w:t xml:space="preserve">            年    月    日</w:t>
            </w:r>
          </w:p>
        </w:tc>
        <w:tc>
          <w:tcPr>
            <w:tcW w:w="691"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教育</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主管</w:t>
            </w:r>
          </w:p>
          <w:p w:rsidR="00675BF5" w:rsidRDefault="00FD06EA">
            <w:pPr>
              <w:pStyle w:val="a6"/>
              <w:spacing w:beforeAutospacing="0" w:afterAutospacing="0" w:line="400" w:lineRule="exact"/>
              <w:jc w:val="center"/>
              <w:rPr>
                <w:rFonts w:eastAsia="宋体" w:hAnsi="Times New Roman"/>
                <w:color w:val="000000"/>
                <w:sz w:val="21"/>
                <w:szCs w:val="21"/>
              </w:rPr>
            </w:pPr>
            <w:r>
              <w:rPr>
                <w:rFonts w:eastAsia="宋体" w:hAnsi="Times New Roman" w:hint="eastAsia"/>
                <w:color w:val="000000"/>
                <w:sz w:val="21"/>
                <w:szCs w:val="21"/>
              </w:rPr>
              <w:t>部门</w:t>
            </w:r>
          </w:p>
          <w:p w:rsidR="00675BF5" w:rsidRDefault="00FD06EA">
            <w:pPr>
              <w:pStyle w:val="a6"/>
              <w:spacing w:beforeAutospacing="0" w:afterAutospacing="0" w:line="400" w:lineRule="exact"/>
              <w:jc w:val="center"/>
              <w:rPr>
                <w:sz w:val="21"/>
                <w:szCs w:val="21"/>
              </w:rPr>
            </w:pPr>
            <w:r>
              <w:rPr>
                <w:rFonts w:eastAsia="宋体" w:hAnsi="Times New Roman" w:hint="eastAsia"/>
                <w:color w:val="000000"/>
                <w:sz w:val="21"/>
                <w:szCs w:val="21"/>
              </w:rPr>
              <w:t>意见</w:t>
            </w:r>
          </w:p>
        </w:tc>
        <w:tc>
          <w:tcPr>
            <w:tcW w:w="4080" w:type="dxa"/>
            <w:gridSpan w:val="3"/>
            <w:tcBorders>
              <w:top w:val="single" w:sz="8" w:space="0" w:color="auto"/>
              <w:left w:val="single" w:sz="8" w:space="0" w:color="auto"/>
              <w:bottom w:val="single" w:sz="12" w:space="0" w:color="auto"/>
              <w:right w:val="single" w:sz="12" w:space="0" w:color="auto"/>
            </w:tcBorders>
            <w:shd w:val="clear" w:color="auto" w:fill="auto"/>
            <w:vAlign w:val="bottom"/>
          </w:tcPr>
          <w:p w:rsidR="00675BF5" w:rsidRDefault="00FD06EA">
            <w:pPr>
              <w:pStyle w:val="a6"/>
              <w:spacing w:beforeAutospacing="0" w:afterAutospacing="0" w:line="400" w:lineRule="exact"/>
              <w:ind w:right="825"/>
              <w:jc w:val="right"/>
              <w:rPr>
                <w:sz w:val="21"/>
                <w:szCs w:val="21"/>
              </w:rPr>
            </w:pPr>
            <w:r>
              <w:rPr>
                <w:rFonts w:eastAsia="宋体" w:hAnsi="Times New Roman" w:hint="eastAsia"/>
                <w:color w:val="000000"/>
                <w:sz w:val="21"/>
                <w:szCs w:val="21"/>
              </w:rPr>
              <w:t>(盖章)</w:t>
            </w:r>
          </w:p>
          <w:p w:rsidR="00675BF5" w:rsidRDefault="00FD06EA">
            <w:pPr>
              <w:pStyle w:val="a6"/>
              <w:wordWrap w:val="0"/>
              <w:spacing w:beforeAutospacing="0" w:afterAutospacing="0" w:line="400" w:lineRule="exact"/>
              <w:ind w:right="360"/>
              <w:jc w:val="right"/>
              <w:rPr>
                <w:sz w:val="21"/>
                <w:szCs w:val="21"/>
              </w:rPr>
            </w:pPr>
            <w:r>
              <w:rPr>
                <w:rFonts w:eastAsia="宋体" w:hAnsi="Times New Roman" w:hint="eastAsia"/>
                <w:color w:val="000000"/>
                <w:sz w:val="21"/>
                <w:szCs w:val="21"/>
              </w:rPr>
              <w:t>年    月    日</w:t>
            </w:r>
          </w:p>
        </w:tc>
      </w:tr>
    </w:tbl>
    <w:p w:rsidR="00675BF5" w:rsidRDefault="00FD06EA">
      <w:pPr>
        <w:pStyle w:val="a6"/>
        <w:spacing w:beforeAutospacing="0" w:afterAutospacing="0" w:line="580" w:lineRule="exact"/>
        <w:ind w:firstLineChars="200" w:firstLine="480"/>
        <w:rPr>
          <w:rFonts w:ascii="仿宋_GB2312" w:eastAsia="仿宋_GB2312" w:hAnsi="仿宋" w:cs="Times New Roman"/>
          <w:kern w:val="2"/>
          <w:sz w:val="32"/>
          <w:szCs w:val="32"/>
        </w:rPr>
      </w:pPr>
      <w:r>
        <w:rPr>
          <w:rFonts w:eastAsia="宋体" w:hint="eastAsia"/>
          <w:color w:val="000000"/>
          <w:szCs w:val="28"/>
        </w:rPr>
        <w:t>注：此表一式三份，市县（区）组织部、教育主管部门、就读学校各一份。</w:t>
      </w:r>
    </w:p>
    <w:sectPr w:rsidR="00675BF5">
      <w:footerReference w:type="default" r:id="rId8"/>
      <w:pgSz w:w="11906" w:h="16838"/>
      <w:pgMar w:top="2041" w:right="1417" w:bottom="1871" w:left="1474" w:header="1531" w:footer="1531"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AF" w:rsidRDefault="005768AF">
      <w:r>
        <w:separator/>
      </w:r>
    </w:p>
  </w:endnote>
  <w:endnote w:type="continuationSeparator" w:id="0">
    <w:p w:rsidR="005768AF" w:rsidRDefault="0057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F5" w:rsidRDefault="00FD06E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75BF5" w:rsidRDefault="00FD06EA">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768AF">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75BF5" w:rsidRDefault="00FD06EA">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768AF">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AF" w:rsidRDefault="005768AF">
      <w:r>
        <w:separator/>
      </w:r>
    </w:p>
  </w:footnote>
  <w:footnote w:type="continuationSeparator" w:id="0">
    <w:p w:rsidR="005768AF" w:rsidRDefault="00576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14182"/>
    <w:rsid w:val="71E14182"/>
    <w:rsid w:val="E3FFE955"/>
    <w:rsid w:val="00165A55"/>
    <w:rsid w:val="005768AF"/>
    <w:rsid w:val="00600480"/>
    <w:rsid w:val="00675BF5"/>
    <w:rsid w:val="00FD06EA"/>
    <w:rsid w:val="0FB029A1"/>
    <w:rsid w:val="15B11EE6"/>
    <w:rsid w:val="1E1D0F89"/>
    <w:rsid w:val="21380C93"/>
    <w:rsid w:val="290D62A5"/>
    <w:rsid w:val="2D7A00D0"/>
    <w:rsid w:val="2E3F5EC9"/>
    <w:rsid w:val="315C0521"/>
    <w:rsid w:val="35927267"/>
    <w:rsid w:val="431E0128"/>
    <w:rsid w:val="43D03A70"/>
    <w:rsid w:val="4F3514BA"/>
    <w:rsid w:val="54066519"/>
    <w:rsid w:val="55B9695A"/>
    <w:rsid w:val="575B716C"/>
    <w:rsid w:val="60861453"/>
    <w:rsid w:val="648E3B54"/>
    <w:rsid w:val="67801EC4"/>
    <w:rsid w:val="69C83532"/>
    <w:rsid w:val="6AD83814"/>
    <w:rsid w:val="6BBC043E"/>
    <w:rsid w:val="6F8E1F57"/>
    <w:rsid w:val="71E14182"/>
    <w:rsid w:val="7AF83CFD"/>
    <w:rsid w:val="7B0C57C6"/>
    <w:rsid w:val="7D5FD514"/>
    <w:rsid w:val="BBE1B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3306</Characters>
  <Application>Microsoft Office Word</Application>
  <DocSecurity>0</DocSecurity>
  <Lines>27</Lines>
  <Paragraphs>7</Paragraphs>
  <ScaleCrop>false</ScaleCrop>
  <Company>P R C</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裴祖军</dc:creator>
  <cp:lastModifiedBy>Windows User</cp:lastModifiedBy>
  <cp:revision>2</cp:revision>
  <cp:lastPrinted>2021-11-09T15:25:00Z</cp:lastPrinted>
  <dcterms:created xsi:type="dcterms:W3CDTF">2024-08-01T08:48:00Z</dcterms:created>
  <dcterms:modified xsi:type="dcterms:W3CDTF">2024-08-01T08:48:00Z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EBFDA5CAE69B41E18E9A4C0C5E3DECEF</vt:lpwstr>
  </property>
</Properties>
</file>