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auto"/>
          <w:kern w:val="0"/>
          <w:sz w:val="28"/>
          <w:szCs w:val="28"/>
        </w:rPr>
      </w:pPr>
      <w:bookmarkStart w:id="1" w:name="_GoBack"/>
    </w:p>
    <w:p>
      <w:pPr>
        <w:widowControl/>
        <w:jc w:val="left"/>
        <w:rPr>
          <w:rFonts w:hint="eastAsia" w:ascii="黑体" w:hAnsi="宋体" w:eastAsia="黑体" w:cs="宋体"/>
          <w:color w:val="auto"/>
          <w:kern w:val="0"/>
          <w:sz w:val="28"/>
          <w:szCs w:val="28"/>
        </w:rPr>
      </w:pPr>
    </w:p>
    <w:p>
      <w:pPr>
        <w:widowControl/>
        <w:jc w:val="left"/>
        <w:rPr>
          <w:rFonts w:hint="eastAsia" w:ascii="黑体" w:hAnsi="宋体" w:eastAsia="黑体" w:cs="宋体"/>
          <w:color w:val="auto"/>
          <w:kern w:val="0"/>
          <w:sz w:val="28"/>
          <w:szCs w:val="28"/>
        </w:rPr>
      </w:pPr>
    </w:p>
    <w:p>
      <w:pPr>
        <w:widowControl/>
        <w:jc w:val="left"/>
        <w:rPr>
          <w:rFonts w:hint="eastAsia" w:ascii="黑体" w:hAnsi="宋体" w:eastAsia="黑体" w:cs="宋体"/>
          <w:color w:val="auto"/>
          <w:kern w:val="0"/>
          <w:sz w:val="28"/>
          <w:szCs w:val="28"/>
        </w:rPr>
      </w:pP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2021年度</w:t>
      </w: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eastAsia="zh-CN"/>
        </w:rPr>
        <w:t>信阳市体育场</w:t>
      </w:r>
      <w:r>
        <w:rPr>
          <w:rFonts w:hint="eastAsia" w:ascii="方正小标宋简体" w:hAnsi="方正小标宋简体" w:eastAsia="方正小标宋简体" w:cs="方正小标宋简体"/>
          <w:color w:val="auto"/>
          <w:sz w:val="52"/>
          <w:szCs w:val="52"/>
        </w:rPr>
        <w:t>部门决算</w:t>
      </w:r>
    </w:p>
    <w:p>
      <w:pPr>
        <w:jc w:val="center"/>
        <w:rPr>
          <w:rFonts w:ascii="黑体" w:hAnsi="黑体" w:eastAsia="黑体" w:cs="黑体"/>
          <w:color w:val="auto"/>
          <w:sz w:val="52"/>
          <w:szCs w:val="52"/>
        </w:rPr>
      </w:pPr>
    </w:p>
    <w:p>
      <w:pPr>
        <w:jc w:val="center"/>
        <w:rPr>
          <w:rFonts w:ascii="黑体" w:hAnsi="黑体" w:eastAsia="黑体" w:cs="黑体"/>
          <w:color w:val="auto"/>
          <w:sz w:val="52"/>
          <w:szCs w:val="52"/>
        </w:rPr>
      </w:pPr>
    </w:p>
    <w:p>
      <w:pPr>
        <w:jc w:val="center"/>
        <w:rPr>
          <w:rFonts w:ascii="黑体" w:hAnsi="黑体" w:eastAsia="黑体" w:cs="黑体"/>
          <w:color w:val="auto"/>
          <w:sz w:val="52"/>
          <w:szCs w:val="52"/>
        </w:rPr>
      </w:pPr>
    </w:p>
    <w:p>
      <w:pPr>
        <w:jc w:val="center"/>
        <w:rPr>
          <w:rFonts w:hint="eastAsia" w:ascii="黑体" w:hAnsi="黑体" w:eastAsia="黑体" w:cs="黑体"/>
          <w:color w:val="auto"/>
          <w:sz w:val="52"/>
          <w:szCs w:val="52"/>
        </w:rPr>
      </w:pPr>
    </w:p>
    <w:p>
      <w:pPr>
        <w:jc w:val="center"/>
        <w:rPr>
          <w:rFonts w:hint="eastAsia" w:ascii="黑体" w:hAnsi="黑体" w:eastAsia="黑体" w:cs="黑体"/>
          <w:color w:val="auto"/>
          <w:sz w:val="52"/>
          <w:szCs w:val="52"/>
        </w:rPr>
      </w:pPr>
    </w:p>
    <w:p>
      <w:pPr>
        <w:jc w:val="center"/>
        <w:rPr>
          <w:rFonts w:hint="eastAsia" w:ascii="黑体" w:hAnsi="黑体" w:eastAsia="黑体" w:cs="黑体"/>
          <w:color w:val="auto"/>
          <w:sz w:val="52"/>
          <w:szCs w:val="52"/>
        </w:rPr>
      </w:pPr>
    </w:p>
    <w:p>
      <w:pPr>
        <w:jc w:val="center"/>
        <w:rPr>
          <w:rFonts w:hint="eastAsia" w:ascii="黑体" w:hAnsi="黑体" w:eastAsia="黑体" w:cs="黑体"/>
          <w:color w:val="auto"/>
          <w:sz w:val="52"/>
          <w:szCs w:val="52"/>
        </w:rPr>
      </w:pPr>
    </w:p>
    <w:p>
      <w:pPr>
        <w:jc w:val="center"/>
        <w:rPr>
          <w:rFonts w:hint="eastAsia" w:ascii="黑体" w:hAnsi="黑体" w:eastAsia="黑体" w:cs="黑体"/>
          <w:color w:val="auto"/>
          <w:sz w:val="36"/>
          <w:szCs w:val="36"/>
        </w:rPr>
        <w:sectPr>
          <w:footerReference r:id="rId3" w:type="default"/>
          <w:footerReference r:id="rId4" w:type="even"/>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r>
        <w:rPr>
          <w:rFonts w:hint="eastAsia" w:ascii="黑体" w:hAnsi="黑体" w:eastAsia="黑体" w:cs="黑体"/>
          <w:color w:val="auto"/>
          <w:sz w:val="36"/>
          <w:szCs w:val="36"/>
        </w:rPr>
        <w:t>二〇二二年</w:t>
      </w:r>
      <w:r>
        <w:rPr>
          <w:rFonts w:hint="eastAsia" w:ascii="黑体" w:hAnsi="黑体" w:eastAsia="黑体" w:cs="黑体"/>
          <w:color w:val="auto"/>
          <w:sz w:val="36"/>
          <w:szCs w:val="36"/>
          <w:lang w:eastAsia="zh-CN"/>
        </w:rPr>
        <w:t>八</w:t>
      </w:r>
      <w:r>
        <w:rPr>
          <w:rFonts w:hint="eastAsia" w:ascii="黑体" w:hAnsi="黑体" w:eastAsia="黑体" w:cs="黑体"/>
          <w:color w:val="auto"/>
          <w:sz w:val="36"/>
          <w:szCs w:val="36"/>
        </w:rPr>
        <w:t>月</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　　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第一部分　</w:t>
      </w:r>
      <w:r>
        <w:rPr>
          <w:rFonts w:hint="eastAsia" w:ascii="黑体" w:hAnsi="黑体" w:eastAsia="黑体" w:cs="黑体"/>
          <w:color w:val="auto"/>
          <w:sz w:val="32"/>
          <w:szCs w:val="32"/>
          <w:lang w:eastAsia="zh-CN"/>
        </w:rPr>
        <w:t>信阳市体育场</w:t>
      </w:r>
      <w:r>
        <w:rPr>
          <w:rFonts w:hint="eastAsia" w:ascii="黑体" w:hAnsi="黑体" w:eastAsia="黑体" w:cs="黑体"/>
          <w:color w:val="auto"/>
          <w:sz w:val="32"/>
          <w:szCs w:val="32"/>
        </w:rPr>
        <w:t>概况</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部门职责</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机构设置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第二部分  2021年度部门决算表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二、收入决算表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三、支出决算表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六、一般公共预算财政拨款基本支出决算明细表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第三部分　</w:t>
      </w:r>
      <w:r>
        <w:rPr>
          <w:rFonts w:ascii="黑体" w:hAnsi="黑体" w:eastAsia="黑体" w:cs="黑体"/>
          <w:color w:val="auto"/>
          <w:sz w:val="32"/>
          <w:szCs w:val="32"/>
        </w:rPr>
        <w:t>2021</w:t>
      </w:r>
      <w:r>
        <w:rPr>
          <w:rFonts w:hint="eastAsia" w:ascii="黑体" w:hAnsi="黑体" w:eastAsia="黑体" w:cs="黑体"/>
          <w:color w:val="auto"/>
          <w:sz w:val="32"/>
          <w:szCs w:val="32"/>
        </w:rPr>
        <w:t>年度</w:t>
      </w:r>
      <w:r>
        <w:rPr>
          <w:rFonts w:ascii="黑体" w:hAnsi="黑体" w:eastAsia="黑体" w:cs="黑体"/>
          <w:color w:val="auto"/>
          <w:sz w:val="32"/>
          <w:szCs w:val="32"/>
        </w:rPr>
        <w:t>部门</w:t>
      </w:r>
      <w:r>
        <w:rPr>
          <w:rFonts w:hint="eastAsia" w:ascii="黑体" w:hAnsi="黑体" w:eastAsia="黑体" w:cs="黑体"/>
          <w:color w:val="auto"/>
          <w:sz w:val="32"/>
          <w:szCs w:val="32"/>
        </w:rPr>
        <w:t>决算情况说明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九、机关运行经费支出情况说明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十、政府采购支出情况说明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十一、国有资产占用情况说明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十二、预算绩效情况说明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黑体" w:hAnsi="黑体" w:eastAsia="黑体" w:cs="黑体"/>
          <w:color w:val="auto"/>
          <w:sz w:val="48"/>
          <w:szCs w:val="48"/>
        </w:rPr>
        <w:sectPr>
          <w:footerReference r:id="rId5" w:type="default"/>
          <w:footerReference r:id="rId6" w:type="even"/>
          <w:pgSz w:w="11906" w:h="16838"/>
          <w:pgMar w:top="1701" w:right="1417" w:bottom="1587" w:left="1474" w:header="1134" w:footer="1134"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r>
        <w:rPr>
          <w:rFonts w:hint="eastAsia" w:ascii="黑体" w:hAnsi="黑体" w:eastAsia="黑体" w:cs="黑体"/>
          <w:color w:val="auto"/>
          <w:sz w:val="32"/>
          <w:szCs w:val="32"/>
        </w:rPr>
        <w:t>第四部分　　名词解释</w:t>
      </w:r>
    </w:p>
    <w:p>
      <w:pPr>
        <w:adjustRightInd w:val="0"/>
        <w:snapToGrid w:val="0"/>
        <w:spacing w:line="360" w:lineRule="auto"/>
        <w:jc w:val="center"/>
        <w:rPr>
          <w:rFonts w:hint="eastAsia" w:ascii="黑体" w:hAnsi="黑体" w:eastAsia="黑体" w:cs="黑体"/>
          <w:color w:val="auto"/>
          <w:sz w:val="48"/>
          <w:szCs w:val="48"/>
        </w:rPr>
      </w:pPr>
      <w:r>
        <w:rPr>
          <w:rFonts w:hint="eastAsia" w:ascii="黑体" w:hAnsi="黑体" w:eastAsia="黑体" w:cs="黑体"/>
          <w:color w:val="auto"/>
          <w:sz w:val="48"/>
          <w:szCs w:val="48"/>
        </w:rPr>
        <w:t>第一部分  信阳市体育场概况</w:t>
      </w:r>
    </w:p>
    <w:p>
      <w:pPr>
        <w:widowControl/>
        <w:jc w:val="center"/>
        <w:outlineLvl w:val="0"/>
        <w:rPr>
          <w:rFonts w:hint="eastAsia" w:ascii="黑体" w:hAnsi="宋体" w:eastAsia="黑体" w:cs="宋体"/>
          <w:color w:val="auto"/>
          <w:kern w:val="0"/>
          <w:sz w:val="28"/>
          <w:szCs w:val="28"/>
        </w:rPr>
      </w:pPr>
    </w:p>
    <w:p>
      <w:pPr>
        <w:adjustRightInd w:val="0"/>
        <w:snapToGrid w:val="0"/>
        <w:spacing w:line="360" w:lineRule="auto"/>
        <w:ind w:firstLine="640" w:firstLineChars="200"/>
        <w:jc w:val="center"/>
        <w:rPr>
          <w:rFonts w:ascii="黑体" w:hAnsi="黑体" w:eastAsia="黑体"/>
          <w:color w:val="auto"/>
          <w:sz w:val="32"/>
          <w:szCs w:val="32"/>
        </w:rPr>
      </w:pPr>
    </w:p>
    <w:p>
      <w:pPr>
        <w:adjustRightInd w:val="0"/>
        <w:snapToGrid w:val="0"/>
        <w:spacing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一、</w:t>
      </w:r>
      <w:r>
        <w:rPr>
          <w:rFonts w:hint="eastAsia" w:ascii="黑体" w:hAnsi="Times New Roman" w:eastAsia="黑体" w:cs="黑体"/>
          <w:color w:val="auto"/>
          <w:sz w:val="32"/>
          <w:szCs w:val="32"/>
        </w:rPr>
        <w:t>信阳市体育场</w:t>
      </w:r>
      <w:r>
        <w:rPr>
          <w:rFonts w:hint="eastAsia" w:ascii="黑体" w:hAnsi="黑体" w:eastAsia="黑体"/>
          <w:color w:val="auto"/>
          <w:sz w:val="32"/>
          <w:szCs w:val="32"/>
        </w:rPr>
        <w:t>主要职责</w:t>
      </w:r>
    </w:p>
    <w:p>
      <w:pPr>
        <w:adjustRightInd w:val="0"/>
        <w:snapToGrid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ascii="仿宋_GB2312" w:hAnsi="仿宋_GB2312" w:eastAsia="仿宋_GB2312" w:cs="仿宋_GB2312"/>
          <w:color w:val="auto"/>
          <w:sz w:val="32"/>
          <w:szCs w:val="32"/>
        </w:rPr>
        <w:t>提供训练场地与相关的服务，促进体育事业的发展</w:t>
      </w:r>
      <w:r>
        <w:rPr>
          <w:rFonts w:hint="eastAsia" w:ascii="仿宋_GB2312" w:hAnsi="仿宋_GB2312" w:eastAsia="仿宋_GB2312" w:cs="仿宋_GB2312"/>
          <w:color w:val="auto"/>
          <w:sz w:val="32"/>
          <w:szCs w:val="32"/>
        </w:rPr>
        <w:t>；</w:t>
      </w:r>
    </w:p>
    <w:p>
      <w:pPr>
        <w:adjustRightInd w:val="0"/>
        <w:snapToGrid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ascii="仿宋_GB2312" w:hAnsi="仿宋_GB2312" w:eastAsia="仿宋_GB2312" w:cs="仿宋_GB2312"/>
          <w:color w:val="auto"/>
          <w:sz w:val="32"/>
          <w:szCs w:val="32"/>
        </w:rPr>
        <w:t>体育场馆训练场地提供与管理</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各场馆的使用维修和日常养护</w:t>
      </w:r>
      <w:r>
        <w:rPr>
          <w:rFonts w:hint="eastAsia" w:ascii="仿宋_GB2312" w:hAnsi="仿宋_GB2312" w:eastAsia="仿宋_GB2312" w:cs="仿宋_GB2312"/>
          <w:color w:val="auto"/>
          <w:sz w:val="32"/>
          <w:szCs w:val="32"/>
        </w:rPr>
        <w:t>；</w:t>
      </w:r>
    </w:p>
    <w:p>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ascii="仿宋_GB2312" w:hAnsi="仿宋_GB2312" w:eastAsia="仿宋_GB2312" w:cs="仿宋_GB2312"/>
          <w:color w:val="auto"/>
          <w:sz w:val="32"/>
          <w:szCs w:val="32"/>
        </w:rPr>
        <w:t>安排组织场馆的各项</w:t>
      </w:r>
      <w:r>
        <w:rPr>
          <w:rFonts w:hint="eastAsia" w:ascii="仿宋_GB2312" w:hAnsi="仿宋_GB2312" w:eastAsia="仿宋_GB2312" w:cs="仿宋_GB2312"/>
          <w:color w:val="auto"/>
          <w:sz w:val="32"/>
          <w:szCs w:val="32"/>
        </w:rPr>
        <w:t>全民健身</w:t>
      </w:r>
      <w:r>
        <w:rPr>
          <w:rFonts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rPr>
        <w:t>；</w:t>
      </w:r>
    </w:p>
    <w:p>
      <w:pPr>
        <w:adjustRightInd w:val="0"/>
        <w:snapToGrid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（四）服务老年人文化体育活动。</w:t>
      </w:r>
    </w:p>
    <w:p>
      <w:pPr>
        <w:adjustRightInd w:val="0"/>
        <w:snapToGrid w:val="0"/>
        <w:spacing w:line="360" w:lineRule="auto"/>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w:t>
      </w:r>
      <w:r>
        <w:rPr>
          <w:rFonts w:hint="eastAsia" w:ascii="黑体" w:hAnsi="Times New Roman" w:eastAsia="黑体" w:cs="黑体"/>
          <w:color w:val="auto"/>
          <w:sz w:val="32"/>
          <w:szCs w:val="32"/>
        </w:rPr>
        <w:t>信阳市体育场</w:t>
      </w:r>
      <w:r>
        <w:rPr>
          <w:rFonts w:hint="eastAsia" w:ascii="黑体" w:hAnsi="黑体" w:eastAsia="黑体"/>
          <w:color w:val="auto"/>
          <w:sz w:val="32"/>
          <w:szCs w:val="32"/>
        </w:rPr>
        <w:t>机构设置</w:t>
      </w:r>
    </w:p>
    <w:p>
      <w:pPr>
        <w:adjustRightInd w:val="0"/>
        <w:snapToGrid w:val="0"/>
        <w:spacing w:line="580" w:lineRule="exact"/>
        <w:ind w:firstLine="640" w:firstLineChars="200"/>
        <w:rPr>
          <w:rFonts w:ascii="仿宋_GB2312" w:hAnsi="仿宋_GB2312" w:eastAsia="仿宋_GB2312" w:cs="仿宋_GB2312"/>
          <w:color w:val="auto"/>
          <w:sz w:val="32"/>
          <w:szCs w:val="32"/>
        </w:rPr>
      </w:pPr>
      <w:bookmarkStart w:id="0" w:name="PO_part1Responsibilities4"/>
      <w:r>
        <w:rPr>
          <w:rFonts w:hint="eastAsia" w:ascii="仿宋" w:hAnsi="仿宋" w:eastAsia="仿宋" w:cs="仿宋"/>
          <w:color w:val="auto"/>
          <w:sz w:val="32"/>
          <w:szCs w:val="32"/>
        </w:rPr>
        <w:t>内设办公室、器材科、场地科、青少年活动中心四个</w:t>
      </w:r>
      <w:r>
        <w:rPr>
          <w:rFonts w:hint="eastAsia" w:ascii="仿宋" w:hAnsi="仿宋" w:eastAsia="仿宋" w:cs="仿宋"/>
          <w:color w:val="auto"/>
          <w:sz w:val="32"/>
          <w:szCs w:val="32"/>
          <w:lang w:eastAsia="zh-CN"/>
        </w:rPr>
        <w:t>科室</w:t>
      </w:r>
      <w:r>
        <w:rPr>
          <w:rFonts w:hint="eastAsia" w:ascii="仿宋_GB2312" w:hAnsi="仿宋_GB2312" w:eastAsia="仿宋_GB2312" w:cs="仿宋_GB2312"/>
          <w:color w:val="auto"/>
          <w:sz w:val="32"/>
          <w:szCs w:val="32"/>
        </w:rPr>
        <w:t xml:space="preserve">。   </w:t>
      </w:r>
      <w:bookmarkEnd w:id="0"/>
    </w:p>
    <w:p>
      <w:pPr>
        <w:adjustRightInd w:val="0"/>
        <w:snapToGrid w:val="0"/>
        <w:spacing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三、</w:t>
      </w:r>
      <w:r>
        <w:rPr>
          <w:rFonts w:hint="eastAsia" w:ascii="黑体" w:hAnsi="Times New Roman" w:eastAsia="黑体" w:cs="黑体"/>
          <w:color w:val="auto"/>
          <w:sz w:val="32"/>
          <w:szCs w:val="32"/>
        </w:rPr>
        <w:t>信阳市体育场</w:t>
      </w:r>
      <w:r>
        <w:rPr>
          <w:rFonts w:hint="eastAsia" w:ascii="黑体" w:hAnsi="黑体" w:eastAsia="黑体"/>
          <w:color w:val="auto"/>
          <w:sz w:val="32"/>
          <w:szCs w:val="32"/>
        </w:rPr>
        <w:t>预算算单位构成</w:t>
      </w:r>
    </w:p>
    <w:p>
      <w:pPr>
        <w:adjustRightInd w:val="0"/>
        <w:snapToGrid w:val="0"/>
        <w:spacing w:line="360" w:lineRule="auto"/>
        <w:ind w:firstLine="640" w:firstLineChars="200"/>
        <w:rPr>
          <w:rFonts w:hint="eastAsia" w:ascii="仿宋_GB2312" w:hAnsi="Times New Roman" w:eastAsia="仿宋_GB2312"/>
          <w:color w:val="auto"/>
          <w:sz w:val="32"/>
          <w:szCs w:val="32"/>
        </w:rPr>
      </w:pPr>
      <w:r>
        <w:rPr>
          <w:rFonts w:hint="eastAsia" w:ascii="仿宋" w:hAnsi="仿宋" w:eastAsia="仿宋" w:cs="仿宋"/>
          <w:color w:val="auto"/>
          <w:sz w:val="32"/>
          <w:szCs w:val="32"/>
        </w:rPr>
        <w:t>信阳市体育场是市教育体育局下属二级机构，为独立预算编制单位，无其他预算编制单位。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ascii="黑体" w:hAnsi="黑体" w:eastAsia="黑体" w:cs="黑体"/>
          <w:color w:val="auto"/>
          <w:kern w:val="0"/>
          <w:sz w:val="32"/>
          <w:szCs w:val="32"/>
        </w:rPr>
      </w:pPr>
    </w:p>
    <w:p>
      <w:pPr>
        <w:pStyle w:val="4"/>
        <w:ind w:left="0" w:leftChars="0" w:firstLine="0" w:firstLineChars="0"/>
        <w:rPr>
          <w:rFonts w:ascii="黑体" w:hAnsi="黑体" w:eastAsia="黑体" w:cs="黑体"/>
          <w:color w:val="auto"/>
          <w:kern w:val="0"/>
          <w:sz w:val="32"/>
          <w:szCs w:val="32"/>
        </w:rPr>
      </w:pPr>
    </w:p>
    <w:p>
      <w:pPr>
        <w:pStyle w:val="2"/>
        <w:ind w:left="0" w:leftChars="0" w:firstLine="0" w:firstLineChars="0"/>
        <w:rPr>
          <w:rFonts w:hint="eastAsia"/>
          <w:color w:val="auto"/>
        </w:rPr>
        <w:sectPr>
          <w:pgSz w:w="11906" w:h="16838"/>
          <w:pgMar w:top="1701" w:right="1417" w:bottom="1587" w:left="1474" w:header="1134" w:footer="1134"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widowControl/>
        <w:jc w:val="left"/>
        <w:rPr>
          <w:rFonts w:hint="eastAsia" w:ascii="黑体" w:hAnsi="宋体" w:eastAsia="黑体" w:cs="宋体"/>
          <w:color w:val="auto"/>
          <w:kern w:val="0"/>
          <w:sz w:val="28"/>
          <w:szCs w:val="28"/>
        </w:rPr>
      </w:pPr>
    </w:p>
    <w:p>
      <w:pPr>
        <w:widowControl/>
        <w:jc w:val="left"/>
        <w:rPr>
          <w:rFonts w:hint="eastAsia" w:ascii="黑体" w:hAnsi="宋体" w:eastAsia="黑体" w:cs="宋体"/>
          <w:color w:val="auto"/>
          <w:kern w:val="0"/>
          <w:sz w:val="28"/>
          <w:szCs w:val="28"/>
        </w:rPr>
      </w:pPr>
    </w:p>
    <w:p>
      <w:pPr>
        <w:widowControl/>
        <w:jc w:val="left"/>
        <w:rPr>
          <w:rFonts w:hint="eastAsia" w:ascii="黑体" w:hAnsi="宋体" w:eastAsia="黑体" w:cs="宋体"/>
          <w:color w:val="auto"/>
          <w:kern w:val="0"/>
          <w:sz w:val="28"/>
          <w:szCs w:val="28"/>
        </w:rPr>
      </w:pPr>
    </w:p>
    <w:p>
      <w:pPr>
        <w:pStyle w:val="2"/>
        <w:ind w:left="0" w:leftChars="0" w:firstLine="0" w:firstLineChars="0"/>
        <w:rPr>
          <w:rFonts w:hint="eastAsia"/>
          <w:color w:val="auto"/>
        </w:rPr>
      </w:pPr>
    </w:p>
    <w:p>
      <w:pPr>
        <w:pStyle w:val="2"/>
        <w:ind w:left="0" w:leftChars="0" w:firstLine="0" w:firstLineChars="0"/>
        <w:rPr>
          <w:rFonts w:hint="eastAsia"/>
          <w:color w:val="auto"/>
        </w:rPr>
      </w:pPr>
    </w:p>
    <w:p>
      <w:pPr>
        <w:widowControl/>
        <w:jc w:val="left"/>
        <w:rPr>
          <w:rFonts w:hint="eastAsia" w:ascii="黑体" w:hAnsi="宋体" w:eastAsia="黑体" w:cs="宋体"/>
          <w:color w:val="auto"/>
          <w:kern w:val="0"/>
          <w:sz w:val="28"/>
          <w:szCs w:val="28"/>
        </w:rPr>
      </w:pPr>
    </w:p>
    <w:p>
      <w:pPr>
        <w:jc w:val="center"/>
        <w:outlineLvl w:val="0"/>
        <w:rPr>
          <w:rFonts w:hint="eastAsia" w:ascii="黑体" w:hAnsi="黑体" w:eastAsia="黑体" w:cs="黑体"/>
          <w:color w:val="auto"/>
          <w:sz w:val="48"/>
          <w:szCs w:val="48"/>
        </w:rPr>
      </w:pPr>
      <w:r>
        <w:rPr>
          <w:rFonts w:hint="eastAsia" w:ascii="黑体" w:hAnsi="黑体" w:eastAsia="黑体" w:cs="黑体"/>
          <w:color w:val="auto"/>
          <w:sz w:val="48"/>
          <w:szCs w:val="48"/>
        </w:rPr>
        <w:t>第二部分  2021年度部门决算表</w:t>
      </w:r>
    </w:p>
    <w:p>
      <w:pPr>
        <w:jc w:val="both"/>
        <w:outlineLvl w:val="0"/>
        <w:rPr>
          <w:rFonts w:hint="eastAsia" w:ascii="黑体" w:hAnsi="宋体" w:eastAsia="黑体" w:cs="宋体"/>
          <w:color w:val="auto"/>
          <w:kern w:val="0"/>
          <w:sz w:val="28"/>
          <w:szCs w:val="28"/>
        </w:rPr>
        <w:sectPr>
          <w:footerReference r:id="rId7" w:type="default"/>
          <w:footerReference r:id="rId8" w:type="even"/>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31"/>
        <w:gridCol w:w="799"/>
        <w:gridCol w:w="1603"/>
        <w:gridCol w:w="4171"/>
        <w:gridCol w:w="799"/>
        <w:gridCol w:w="2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081" w:type="dxa"/>
            <w:gridSpan w:val="6"/>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r>
              <w:rPr>
                <w:rFonts w:hint="eastAsia" w:ascii="黑体" w:hAnsi="宋体" w:eastAsia="黑体" w:cs="黑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auto"/>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部门：信阳市体育场</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注：本表反映部门本年度的总收支和年末结转结余情况。本套报表金额单位转换时可能存在尾数误差。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single" w:color="808080" w:sz="4" w:space="0"/>
              <w:right w:val="single" w:color="808080" w:sz="4" w:space="0"/>
            </w:tcBorders>
            <w:shd w:val="clear" w:color="auto" w:fill="FFFFFF"/>
            <w:noWrap/>
            <w:vAlign w:val="center"/>
          </w:tcPr>
          <w:p>
            <w:pPr>
              <w:jc w:val="left"/>
              <w:rPr>
                <w:rFonts w:hint="eastAsia" w:ascii="宋体" w:hAnsi="宋体" w:eastAsia="宋体" w:cs="宋体"/>
                <w:i w:val="0"/>
                <w:iCs w:val="0"/>
                <w:color w:val="auto"/>
                <w:sz w:val="18"/>
                <w:szCs w:val="18"/>
                <w:u w:val="none"/>
              </w:rPr>
            </w:pPr>
          </w:p>
        </w:tc>
      </w:tr>
    </w:tbl>
    <w:p>
      <w:pPr>
        <w:widowControl/>
        <w:jc w:val="left"/>
        <w:rPr>
          <w:rFonts w:hint="eastAsia" w:ascii="黑体" w:hAnsi="宋体" w:eastAsia="黑体" w:cs="宋体"/>
          <w:color w:val="auto"/>
          <w:kern w:val="0"/>
          <w:sz w:val="28"/>
          <w:szCs w:val="28"/>
        </w:rPr>
      </w:pPr>
    </w:p>
    <w:p>
      <w:pPr>
        <w:pStyle w:val="2"/>
        <w:rPr>
          <w:rFonts w:hint="eastAsia"/>
          <w:color w:val="auto"/>
        </w:rPr>
      </w:pPr>
    </w:p>
    <w:p>
      <w:pPr>
        <w:pStyle w:val="4"/>
        <w:rPr>
          <w:rFonts w:hint="eastAsia"/>
          <w:color w:val="auto"/>
        </w:rPr>
      </w:pPr>
    </w:p>
    <w:p>
      <w:pPr>
        <w:pStyle w:val="4"/>
        <w:rPr>
          <w:rFonts w:hint="eastAsia"/>
          <w:color w:val="auto"/>
        </w:rPr>
      </w:pP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222"/>
        <w:gridCol w:w="222"/>
        <w:gridCol w:w="3617"/>
        <w:gridCol w:w="818"/>
        <w:gridCol w:w="1713"/>
        <w:gridCol w:w="717"/>
        <w:gridCol w:w="963"/>
        <w:gridCol w:w="963"/>
        <w:gridCol w:w="963"/>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11"/>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r>
              <w:rPr>
                <w:rFonts w:hint="eastAsia" w:ascii="黑体" w:hAnsi="宋体" w:eastAsia="黑体" w:cs="黑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auto"/>
                <w:sz w:val="16"/>
                <w:szCs w:val="16"/>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2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60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5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4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4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4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61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部门：信阳市体育场</w:t>
            </w:r>
          </w:p>
        </w:tc>
        <w:tc>
          <w:tcPr>
            <w:tcW w:w="7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7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27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60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2021年度</w:t>
            </w:r>
          </w:p>
        </w:tc>
        <w:tc>
          <w:tcPr>
            <w:tcW w:w="25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4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4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4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61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08"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28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本年收入合计</w:t>
            </w:r>
          </w:p>
        </w:tc>
        <w:tc>
          <w:tcPr>
            <w:tcW w:w="60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财政拨款收入</w:t>
            </w:r>
          </w:p>
        </w:tc>
        <w:tc>
          <w:tcPr>
            <w:tcW w:w="25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上级补助收入</w:t>
            </w:r>
          </w:p>
        </w:tc>
        <w:tc>
          <w:tcPr>
            <w:tcW w:w="34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事业收入</w:t>
            </w:r>
          </w:p>
        </w:tc>
        <w:tc>
          <w:tcPr>
            <w:tcW w:w="34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经营收入</w:t>
            </w:r>
          </w:p>
        </w:tc>
        <w:tc>
          <w:tcPr>
            <w:tcW w:w="34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附属单位上缴收入</w:t>
            </w:r>
          </w:p>
        </w:tc>
        <w:tc>
          <w:tcPr>
            <w:tcW w:w="61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功能分类科目编码</w:t>
            </w:r>
          </w:p>
        </w:tc>
        <w:tc>
          <w:tcPr>
            <w:tcW w:w="1276"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科目名称</w:t>
            </w:r>
          </w:p>
        </w:tc>
        <w:tc>
          <w:tcPr>
            <w:tcW w:w="28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5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4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4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4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1276"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28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5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4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4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4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1276"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28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5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4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4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4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08"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栏次</w:t>
            </w:r>
          </w:p>
        </w:tc>
        <w:tc>
          <w:tcPr>
            <w:tcW w:w="28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0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5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4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4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4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1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08"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423.83</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423.83</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207</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文化旅游体育与传媒支出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381.69</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381.69</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20703</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体育</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351.69</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351.69</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2070307</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体育场馆</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104.00</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104.00</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2070399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其他体育支出</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247.69</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247.69</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20799</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其他文化旅游体育与传媒支出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30.00</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30.00</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2079999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其他文化旅游体育与传媒支出</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社会保障和就业支出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24.40</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24.40</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20805</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行政事业单位养老支出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21.39</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21.39</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2080505</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机关事业单位基本养老保险缴费支出</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14.26</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14.26</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2080506</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机关事业单位职业年金缴费支出</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7.13</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7.13</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20808</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抚恤</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1.72</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1.72</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2080801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死亡抚恤</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20899</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其他社会保障和就业支出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1.28</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1.28</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2089999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其他社会保障和就业支出</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210</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卫生健康支出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21011</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行政事业单位医疗</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2101102</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事业单位医疗</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221</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住房保障支出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22102</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住房改革支出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2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2210201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住房公积金</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10.65</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10.65</w:t>
            </w:r>
          </w:p>
        </w:tc>
        <w:tc>
          <w:tcPr>
            <w:tcW w:w="2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5" w:type="pct"/>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76"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89"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605"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53"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40"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40"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40"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619" w:type="pct"/>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222"/>
        <w:gridCol w:w="223"/>
        <w:gridCol w:w="3616"/>
        <w:gridCol w:w="1713"/>
        <w:gridCol w:w="818"/>
        <w:gridCol w:w="1197"/>
        <w:gridCol w:w="1206"/>
        <w:gridCol w:w="1206"/>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r>
              <w:rPr>
                <w:rFonts w:hint="eastAsia" w:ascii="黑体" w:hAnsi="宋体" w:eastAsia="黑体" w:cs="黑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4"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auto"/>
                <w:sz w:val="16"/>
                <w:szCs w:val="16"/>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2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60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2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620"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4"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部门：信阳市体育场</w:t>
            </w:r>
          </w:p>
        </w:tc>
        <w:tc>
          <w:tcPr>
            <w:tcW w:w="7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7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27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60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2021年度</w:t>
            </w:r>
          </w:p>
        </w:tc>
        <w:tc>
          <w:tcPr>
            <w:tcW w:w="28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2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2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2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620"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07"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60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本年支出合计</w:t>
            </w:r>
          </w:p>
        </w:tc>
        <w:tc>
          <w:tcPr>
            <w:tcW w:w="28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基本支出</w:t>
            </w:r>
          </w:p>
        </w:tc>
        <w:tc>
          <w:tcPr>
            <w:tcW w:w="42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项目支出</w:t>
            </w:r>
          </w:p>
        </w:tc>
        <w:tc>
          <w:tcPr>
            <w:tcW w:w="42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上缴上级支出</w:t>
            </w:r>
          </w:p>
        </w:tc>
        <w:tc>
          <w:tcPr>
            <w:tcW w:w="42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经营支出</w:t>
            </w:r>
          </w:p>
        </w:tc>
        <w:tc>
          <w:tcPr>
            <w:tcW w:w="62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功能分类科目编码</w:t>
            </w:r>
          </w:p>
        </w:tc>
        <w:tc>
          <w:tcPr>
            <w:tcW w:w="1276"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科目名称</w:t>
            </w:r>
          </w:p>
        </w:tc>
        <w:tc>
          <w:tcPr>
            <w:tcW w:w="6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8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2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62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1276"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8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2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62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1276"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8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2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62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07"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栏次</w:t>
            </w:r>
          </w:p>
        </w:tc>
        <w:tc>
          <w:tcPr>
            <w:tcW w:w="60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8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2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2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2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2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07"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423.83</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423.83</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207</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文化旅游体育与传媒支出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381.69</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381.69</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20703</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体育</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351.69</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351.69</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2070307</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体育场馆</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104.00</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104.00</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2070399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其他体育支出</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247.69</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247.69</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20799</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其他文化旅游体育与传媒支出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30.00</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2079999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其他文化旅游体育与传媒支出</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社会保障和就业支出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24.40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24.40</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20805</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行政事业单位养老支出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21.39</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21.39</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2080505</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机关事业单位基本养老保险缴费支出</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14.26</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14.26</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2080506</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机关事业单位职业年金缴费支出</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7.13</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7.13</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20808</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抚恤</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1.72</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1.72</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2080801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死亡抚恤</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20899</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其他社会保障和就业支出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1.28</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1.28</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2089999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其他社会保障和就业支出</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210</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卫生健康支出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21011</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行政事业单位医疗</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2101102</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事业单位医疗</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221</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住房保障支出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22102</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住房改革支出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4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2210201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住房公积金</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10.65</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10.65</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注：本表反映部门本年度各项支出情况。</w:t>
            </w:r>
          </w:p>
        </w:tc>
      </w:tr>
    </w:tbl>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4"/>
        <w:gridCol w:w="400"/>
        <w:gridCol w:w="881"/>
        <w:gridCol w:w="2904"/>
        <w:gridCol w:w="3291"/>
        <w:gridCol w:w="845"/>
        <w:gridCol w:w="70"/>
        <w:gridCol w:w="775"/>
        <w:gridCol w:w="35"/>
        <w:gridCol w:w="810"/>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5000" w:type="pct"/>
            <w:gridSpan w:val="11"/>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r>
              <w:rPr>
                <w:rFonts w:hint="eastAsia" w:ascii="黑体" w:hAnsi="宋体" w:eastAsia="黑体" w:cs="黑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929"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auto"/>
                <w:sz w:val="16"/>
                <w:szCs w:val="16"/>
                <w:u w:val="none"/>
              </w:rPr>
            </w:pPr>
          </w:p>
        </w:tc>
        <w:tc>
          <w:tcPr>
            <w:tcW w:w="14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1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02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16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22"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5"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53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部门：信阳市体育场</w:t>
            </w:r>
          </w:p>
        </w:tc>
        <w:tc>
          <w:tcPr>
            <w:tcW w:w="14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1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02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16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2021年度</w:t>
            </w:r>
          </w:p>
        </w:tc>
        <w:tc>
          <w:tcPr>
            <w:tcW w:w="322"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5"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53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8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     入</w:t>
            </w:r>
          </w:p>
        </w:tc>
        <w:tc>
          <w:tcPr>
            <w:tcW w:w="3618" w:type="pct"/>
            <w:gridSpan w:val="8"/>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9"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14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行次</w:t>
            </w:r>
          </w:p>
        </w:tc>
        <w:tc>
          <w:tcPr>
            <w:tcW w:w="31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w:t>
            </w:r>
          </w:p>
        </w:tc>
        <w:tc>
          <w:tcPr>
            <w:tcW w:w="1024" w:type="pct"/>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116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行次</w:t>
            </w:r>
          </w:p>
        </w:tc>
        <w:tc>
          <w:tcPr>
            <w:tcW w:w="298"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298" w:type="pct"/>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一般公共预算财政拨款</w:t>
            </w:r>
          </w:p>
        </w:tc>
        <w:tc>
          <w:tcPr>
            <w:tcW w:w="298" w:type="pct"/>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政府性基金预算财政拨款</w:t>
            </w:r>
          </w:p>
        </w:tc>
        <w:tc>
          <w:tcPr>
            <w:tcW w:w="53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9" w:type="pct"/>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auto"/>
                <w:sz w:val="20"/>
                <w:szCs w:val="20"/>
                <w:u w:val="none"/>
              </w:rPr>
            </w:pPr>
          </w:p>
        </w:tc>
        <w:tc>
          <w:tcPr>
            <w:tcW w:w="14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1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1024" w:type="pct"/>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auto"/>
                <w:sz w:val="20"/>
                <w:szCs w:val="20"/>
                <w:u w:val="none"/>
              </w:rPr>
            </w:pPr>
          </w:p>
        </w:tc>
        <w:tc>
          <w:tcPr>
            <w:tcW w:w="116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98"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298"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98"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53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栏次</w:t>
            </w:r>
          </w:p>
        </w:tc>
        <w:tc>
          <w:tcPr>
            <w:tcW w:w="141"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31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24" w:type="pct"/>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栏次</w:t>
            </w:r>
          </w:p>
        </w:tc>
        <w:tc>
          <w:tcPr>
            <w:tcW w:w="1160"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98"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98"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一、一般公共预算财政拨款</w:t>
            </w: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一、一般公共服务支出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二、政府性基金预算财政拨款</w:t>
            </w: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二、外交支出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三、国有资本经营财政拨款</w:t>
            </w: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三、国防支出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四、公共安全支出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五、教育支出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六、科学技术支出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七、文化旅游体育与传媒支出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381.69</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381.69</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八、社会保障和就业支出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九、卫生健康支出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十、节能环保支出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十一、城乡社区支出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十二、农林水支出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十三、交通运输支出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十四、资源勘探工业信息等支出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十五、商业服务业等支出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十六、金融支出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十七、援助其他地区支出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十八、自然资源海洋气象等支出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十九、住房保障支出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10.65</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10.65</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二十、粮油物资储备支出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二十一、国有资本经营预算支出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二十二、灾害防治及应急管理支出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二十三、其他支出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二十四、债务还本支出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二十五、债务付息支出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3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二十六、抗疫特别国债安排的支出</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本年收入合计</w:t>
            </w: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3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本年支出合计</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年初财政拨款结转和结余</w:t>
            </w: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3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年末财政拨款结转和结余</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一般公共预算财政拨款</w:t>
            </w: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3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102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2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298"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298"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53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政府性基金预算财政拨款</w:t>
            </w: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3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102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2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298"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298"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53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国有资本经营预算财政拨款</w:t>
            </w:r>
          </w:p>
        </w:tc>
        <w:tc>
          <w:tcPr>
            <w:tcW w:w="14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3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102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2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298"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298"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53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总计</w:t>
            </w:r>
          </w:p>
        </w:tc>
        <w:tc>
          <w:tcPr>
            <w:tcW w:w="141" w:type="pct"/>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3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102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总计</w:t>
            </w:r>
          </w:p>
        </w:tc>
        <w:tc>
          <w:tcPr>
            <w:tcW w:w="11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2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423.83</w:t>
            </w:r>
          </w:p>
        </w:tc>
        <w:tc>
          <w:tcPr>
            <w:tcW w:w="29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5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53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20"/>
                <w:szCs w:val="20"/>
                <w:u w:val="none"/>
              </w:rPr>
            </w:pPr>
          </w:p>
        </w:tc>
      </w:tr>
    </w:tbl>
    <w:p>
      <w:pPr>
        <w:pStyle w:val="4"/>
        <w:rPr>
          <w:rFonts w:hint="eastAsia"/>
          <w:color w:val="auto"/>
        </w:rPr>
      </w:pPr>
    </w:p>
    <w:p>
      <w:pPr>
        <w:pStyle w:val="4"/>
        <w:rPr>
          <w:rFonts w:hint="eastAsia"/>
          <w:color w:val="auto"/>
        </w:rPr>
      </w:pPr>
    </w:p>
    <w:tbl>
      <w:tblPr>
        <w:tblStyle w:val="8"/>
        <w:tblW w:w="13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1"/>
        <w:gridCol w:w="271"/>
        <w:gridCol w:w="271"/>
        <w:gridCol w:w="4414"/>
        <w:gridCol w:w="1592"/>
        <w:gridCol w:w="1842"/>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514" w:type="dxa"/>
            <w:gridSpan w:val="7"/>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r>
              <w:rPr>
                <w:rFonts w:hint="eastAsia" w:ascii="黑体" w:hAnsi="宋体" w:eastAsia="黑体" w:cs="黑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auto"/>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部门：信阳市体育场</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6329"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5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科目名称</w:t>
            </w:r>
          </w:p>
        </w:tc>
        <w:tc>
          <w:tcPr>
            <w:tcW w:w="183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22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基本支出</w:t>
            </w:r>
          </w:p>
        </w:tc>
        <w:tc>
          <w:tcPr>
            <w:tcW w:w="22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5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183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5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183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423.83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423.83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381.69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381.69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20703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体育</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351.69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351.69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2070307</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体育场馆</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2070399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其他体育支出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247.69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247.69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20799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2079999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24.40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24.40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21.39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21.39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2080506</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2089999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注：本表反映部门本年度一般公共预算财政拨款支出情况。</w:t>
            </w:r>
          </w:p>
        </w:tc>
      </w:tr>
    </w:tbl>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7"/>
        <w:gridCol w:w="2163"/>
        <w:gridCol w:w="836"/>
        <w:gridCol w:w="814"/>
        <w:gridCol w:w="3315"/>
        <w:gridCol w:w="934"/>
        <w:gridCol w:w="821"/>
        <w:gridCol w:w="2677"/>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9"/>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r>
              <w:rPr>
                <w:rFonts w:hint="eastAsia" w:ascii="黑体" w:hAnsi="宋体" w:eastAsia="黑体" w:cs="黑体"/>
                <w:i w:val="0"/>
                <w:iCs w:val="0"/>
                <w:color w:val="auto"/>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22"/>
                <w:szCs w:val="22"/>
                <w:u w:val="none"/>
              </w:rPr>
            </w:pPr>
          </w:p>
        </w:tc>
        <w:tc>
          <w:tcPr>
            <w:tcW w:w="76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9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16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94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94"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auto"/>
                <w:sz w:val="16"/>
                <w:szCs w:val="16"/>
                <w:u w:val="none"/>
              </w:rPr>
            </w:pPr>
          </w:p>
        </w:tc>
        <w:tc>
          <w:tcPr>
            <w:tcW w:w="76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9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16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94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94"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1"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部门：信阳市体育场</w:t>
            </w:r>
          </w:p>
        </w:tc>
        <w:tc>
          <w:tcPr>
            <w:tcW w:w="29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169"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32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8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338" w:type="pct"/>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人员经费</w:t>
            </w:r>
          </w:p>
        </w:tc>
        <w:tc>
          <w:tcPr>
            <w:tcW w:w="3413" w:type="pct"/>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科目编码</w:t>
            </w:r>
          </w:p>
        </w:tc>
        <w:tc>
          <w:tcPr>
            <w:tcW w:w="76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科目名称</w:t>
            </w:r>
          </w:p>
        </w:tc>
        <w:tc>
          <w:tcPr>
            <w:tcW w:w="29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决算数</w:t>
            </w:r>
          </w:p>
        </w:tc>
        <w:tc>
          <w:tcPr>
            <w:tcW w:w="28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科目编码</w:t>
            </w:r>
          </w:p>
        </w:tc>
        <w:tc>
          <w:tcPr>
            <w:tcW w:w="116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科目名称</w:t>
            </w:r>
          </w:p>
        </w:tc>
        <w:tc>
          <w:tcPr>
            <w:tcW w:w="32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决算数</w:t>
            </w:r>
          </w:p>
        </w:tc>
        <w:tc>
          <w:tcPr>
            <w:tcW w:w="28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科目编码</w:t>
            </w:r>
          </w:p>
        </w:tc>
        <w:tc>
          <w:tcPr>
            <w:tcW w:w="94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科目名称</w:t>
            </w:r>
          </w:p>
        </w:tc>
        <w:tc>
          <w:tcPr>
            <w:tcW w:w="39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76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9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8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116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2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8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94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9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工资福利支出</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283.97</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商品和服务支出</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137.40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307</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债务利息及费用支出</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30101</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基本工资</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77.08</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30201</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办公费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30701</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国内债务付息</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30102</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津贴补贴</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30202</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印刷费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30702</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国外债务付息</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30103</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奖金</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30203</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咨询费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资本性支出</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30106</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伙食补助费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30204</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手续费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31001</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房屋建筑物购建</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30107</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绩效工资</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52.69</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30205</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水费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31002</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办公设备购置</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30108</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16.09</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30206</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电费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7.91</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31003</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专用设备购置</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30109</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职业年金缴费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10.77</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30207</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邮电费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31005</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基础设施建设</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30110</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职工基本医疗保险缴费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30208</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取暖费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31006</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大型修缮</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30111</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公务员医疗补助缴费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30209</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物业管理费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31007</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信息网络及软件购置更新</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30112</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其他社会保障缴费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7.25</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30211</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差旅费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31008</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物资储备</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30113</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住房公积金</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30212</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因公出国（境）费用</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31009</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土地补偿</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30114</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医疗费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12.33</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30213</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维修（护）费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42.59</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31010</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安置补助</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30199</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其他工资福利支出</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65.98</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30214</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租赁费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31011</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地上附着物和青苗补偿</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对个人和家庭的补助</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30215</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会议费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31012</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拆迁补偿</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30301</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离休费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30216</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培训费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31013</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公务用车购置</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30302</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退休费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30217</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公务接待费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31019</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其他交通工具购置</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30303</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退职（役）费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30218</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专用材料费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18.27</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31021</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文物和陈列品购置</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30304</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抚恤金</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30224</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被装购置费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31022</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无形资产购置</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30305</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生活补助</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30225</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专用燃料费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31099</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其他资本性支出</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30306</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救济费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30226</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劳务费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12.83</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其他支出</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30307</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医疗费补助</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30227</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委托业务费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39906</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赠与</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30308</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助学金</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30228</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工会经费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39907</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国家赔偿费用支出</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30309</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奖励金</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30229</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福利费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39908</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对民间非营利组织和群众性自治组织补贴</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30310</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个人农业生产补贴</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30231</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公务用车运行维护费</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39999</w:t>
            </w:r>
          </w:p>
        </w:tc>
        <w:tc>
          <w:tcPr>
            <w:tcW w:w="9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其他支出</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30311</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代缴社会保险费</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30239</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其他交通费用</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94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30399</w:t>
            </w:r>
          </w:p>
        </w:tc>
        <w:tc>
          <w:tcPr>
            <w:tcW w:w="76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其他对个人和家庭的补助</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30240</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税金及附加费用</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94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763"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2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2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30299</w:t>
            </w:r>
          </w:p>
        </w:tc>
        <w:tc>
          <w:tcPr>
            <w:tcW w:w="116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其他商品和服务支出</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89"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94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auto"/>
                <w:sz w:val="20"/>
                <w:szCs w:val="20"/>
                <w:u w:val="none"/>
              </w:rPr>
            </w:pP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1" w:type="pct"/>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人员经费合计</w:t>
            </w:r>
          </w:p>
        </w:tc>
        <w:tc>
          <w:tcPr>
            <w:tcW w:w="2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286.43</w:t>
            </w:r>
          </w:p>
        </w:tc>
        <w:tc>
          <w:tcPr>
            <w:tcW w:w="3019" w:type="pct"/>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公用经费合计</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注：本表反映部门本年度一般公共预算财政拨款基本支出明细情况。</w:t>
            </w:r>
          </w:p>
        </w:tc>
      </w:tr>
    </w:tbl>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0"/>
        <w:gridCol w:w="714"/>
        <w:gridCol w:w="786"/>
        <w:gridCol w:w="1170"/>
        <w:gridCol w:w="1200"/>
        <w:gridCol w:w="3000"/>
        <w:gridCol w:w="1080"/>
        <w:gridCol w:w="1065"/>
        <w:gridCol w:w="915"/>
        <w:gridCol w:w="962"/>
        <w:gridCol w:w="883"/>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12"/>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auto"/>
                <w:sz w:val="18"/>
                <w:szCs w:val="18"/>
                <w:u w:val="none"/>
              </w:rPr>
            </w:pPr>
            <w:r>
              <w:rPr>
                <w:rFonts w:hint="eastAsia" w:ascii="黑体" w:hAnsi="宋体" w:eastAsia="黑体" w:cs="黑体"/>
                <w:i w:val="0"/>
                <w:iCs w:val="0"/>
                <w:color w:val="auto"/>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预算代码：553178</w:t>
            </w:r>
          </w:p>
        </w:tc>
        <w:tc>
          <w:tcPr>
            <w:tcW w:w="25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27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1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2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05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8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7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2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3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1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17"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8" w:type="pct"/>
            <w:gridSpan w:val="3"/>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部门：信阳市体育场</w:t>
            </w:r>
          </w:p>
        </w:tc>
        <w:tc>
          <w:tcPr>
            <w:tcW w:w="41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2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05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制表日期：2016年3月</w:t>
            </w:r>
          </w:p>
        </w:tc>
        <w:tc>
          <w:tcPr>
            <w:tcW w:w="38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7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2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33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628" w:type="pct"/>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2" w:type="pct"/>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c>
          <w:tcPr>
            <w:tcW w:w="2047" w:type="pct"/>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9"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25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因公出国（境）费</w:t>
            </w:r>
          </w:p>
        </w:tc>
        <w:tc>
          <w:tcPr>
            <w:tcW w:w="1113"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公务用车购置及运行费</w:t>
            </w:r>
          </w:p>
        </w:tc>
        <w:tc>
          <w:tcPr>
            <w:tcW w:w="105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公务接待费</w:t>
            </w:r>
          </w:p>
        </w:tc>
        <w:tc>
          <w:tcPr>
            <w:tcW w:w="38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37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因公出国（境）费</w:t>
            </w:r>
          </w:p>
        </w:tc>
        <w:tc>
          <w:tcPr>
            <w:tcW w:w="973"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公务用车购置及运行费</w:t>
            </w:r>
          </w:p>
        </w:tc>
        <w:tc>
          <w:tcPr>
            <w:tcW w:w="31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9"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5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27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41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公务用车购置费</w:t>
            </w:r>
          </w:p>
        </w:tc>
        <w:tc>
          <w:tcPr>
            <w:tcW w:w="42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公务用车运行费</w:t>
            </w:r>
          </w:p>
        </w:tc>
        <w:tc>
          <w:tcPr>
            <w:tcW w:w="105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8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7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32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33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公务用车购置费</w:t>
            </w:r>
          </w:p>
        </w:tc>
        <w:tc>
          <w:tcPr>
            <w:tcW w:w="311"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公务用车运行费</w:t>
            </w:r>
          </w:p>
        </w:tc>
        <w:tc>
          <w:tcPr>
            <w:tcW w:w="31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51"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7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2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05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8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7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2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3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11"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1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25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277" w:type="pct"/>
            <w:tcBorders>
              <w:top w:val="nil"/>
              <w:left w:val="nil"/>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41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105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8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37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3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c>
          <w:tcPr>
            <w:tcW w:w="31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3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222"/>
        <w:gridCol w:w="222"/>
        <w:gridCol w:w="1313"/>
        <w:gridCol w:w="5616"/>
        <w:gridCol w:w="709"/>
        <w:gridCol w:w="709"/>
        <w:gridCol w:w="710"/>
        <w:gridCol w:w="715"/>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15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auto"/>
                <w:sz w:val="30"/>
                <w:szCs w:val="30"/>
                <w:u w:val="none"/>
              </w:rPr>
            </w:pPr>
            <w:r>
              <w:rPr>
                <w:rFonts w:hint="eastAsia" w:ascii="黑体" w:hAnsi="宋体" w:eastAsia="黑体" w:cs="黑体"/>
                <w:i w:val="0"/>
                <w:iCs w:val="0"/>
                <w:color w:val="auto"/>
                <w:kern w:val="0"/>
                <w:sz w:val="30"/>
                <w:szCs w:val="30"/>
                <w:u w:val="none"/>
                <w:lang w:val="en-US" w:eastAsia="zh-CN" w:bidi="ar"/>
              </w:rPr>
              <w:t>政府性基金预算财政拨款收入支出决算表</w:t>
            </w:r>
          </w:p>
        </w:tc>
        <w:tc>
          <w:tcPr>
            <w:tcW w:w="4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519"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8"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auto"/>
                <w:sz w:val="16"/>
                <w:szCs w:val="16"/>
                <w:u w:val="none"/>
              </w:rPr>
            </w:pPr>
          </w:p>
        </w:tc>
        <w:tc>
          <w:tcPr>
            <w:tcW w:w="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15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51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部门：信阳市体育场</w:t>
            </w:r>
          </w:p>
        </w:tc>
        <w:tc>
          <w:tcPr>
            <w:tcW w:w="9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9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115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2021年度</w:t>
            </w:r>
          </w:p>
        </w:tc>
        <w:tc>
          <w:tcPr>
            <w:tcW w:w="4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4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auto"/>
                <w:sz w:val="18"/>
                <w:szCs w:val="18"/>
                <w:u w:val="none"/>
              </w:rPr>
            </w:pPr>
          </w:p>
        </w:tc>
        <w:tc>
          <w:tcPr>
            <w:tcW w:w="51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02"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49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年初结转和结余</w:t>
            </w:r>
          </w:p>
        </w:tc>
        <w:tc>
          <w:tcPr>
            <w:tcW w:w="49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本年收入</w:t>
            </w:r>
          </w:p>
        </w:tc>
        <w:tc>
          <w:tcPr>
            <w:tcW w:w="1487"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本年支出</w:t>
            </w:r>
          </w:p>
        </w:tc>
        <w:tc>
          <w:tcPr>
            <w:tcW w:w="51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功能分类科目编码</w:t>
            </w:r>
          </w:p>
        </w:tc>
        <w:tc>
          <w:tcPr>
            <w:tcW w:w="1159"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科目名称</w:t>
            </w: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49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基本支出</w:t>
            </w:r>
          </w:p>
        </w:tc>
        <w:tc>
          <w:tcPr>
            <w:tcW w:w="49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项目支出</w:t>
            </w:r>
          </w:p>
        </w:tc>
        <w:tc>
          <w:tcPr>
            <w:tcW w:w="51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1159"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51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1159"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49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c>
          <w:tcPr>
            <w:tcW w:w="51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02"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栏次</w:t>
            </w:r>
          </w:p>
        </w:tc>
        <w:tc>
          <w:tcPr>
            <w:tcW w:w="4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02"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auto"/>
                <w:sz w:val="20"/>
                <w:szCs w:val="20"/>
                <w:u w:val="none"/>
              </w:rPr>
            </w:pP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auto"/>
                <w:sz w:val="20"/>
                <w:szCs w:val="20"/>
                <w:u w:val="none"/>
              </w:rPr>
            </w:pP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auto"/>
                <w:sz w:val="20"/>
                <w:szCs w:val="20"/>
                <w:u w:val="none"/>
              </w:rPr>
            </w:pP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auto"/>
                <w:sz w:val="20"/>
                <w:szCs w:val="20"/>
                <w:u w:val="none"/>
              </w:rPr>
            </w:pP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auto"/>
                <w:sz w:val="20"/>
                <w:szCs w:val="20"/>
                <w:u w:val="none"/>
              </w:rPr>
            </w:pPr>
          </w:p>
        </w:tc>
        <w:tc>
          <w:tcPr>
            <w:tcW w:w="5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pct"/>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0"/>
                <w:szCs w:val="20"/>
                <w:u w:val="none"/>
              </w:rPr>
            </w:pPr>
          </w:p>
        </w:tc>
        <w:tc>
          <w:tcPr>
            <w:tcW w:w="1159" w:type="pct"/>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auto"/>
                <w:sz w:val="20"/>
                <w:szCs w:val="20"/>
                <w:u w:val="none"/>
              </w:rPr>
            </w:pP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4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c>
          <w:tcPr>
            <w:tcW w:w="5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注：本表反映部门本年度政府性基金预算财政拨款收入、支出及结转和结余情况。</w:t>
            </w:r>
          </w:p>
          <w:p>
            <w:pPr>
              <w:pStyle w:val="2"/>
              <w:ind w:left="0" w:leftChars="0" w:firstLine="0" w:firstLineChars="0"/>
              <w:jc w:val="left"/>
              <w:rPr>
                <w:rFonts w:hint="eastAsia"/>
                <w:color w:val="auto"/>
              </w:rPr>
            </w:pPr>
            <w:r>
              <w:rPr>
                <w:rFonts w:hint="eastAsia" w:ascii="Times New Roman" w:hAnsi="Times New Roman" w:eastAsia="宋体" w:cs="Times New Roman"/>
                <w:color w:val="auto"/>
                <w:kern w:val="2"/>
                <w:sz w:val="21"/>
                <w:szCs w:val="22"/>
                <w:lang w:val="en-US" w:eastAsia="zh-CN" w:bidi="ar-SA"/>
              </w:rPr>
              <w:t>说明：我单位没有政府性基金收入，也没有使用政府性基金安排的支出，故本表无数据。</w:t>
            </w:r>
          </w:p>
        </w:tc>
      </w:tr>
    </w:tbl>
    <w:p>
      <w:pPr>
        <w:pStyle w:val="4"/>
        <w:rPr>
          <w:rFonts w:hint="eastAsia"/>
          <w:color w:val="auto"/>
        </w:rPr>
      </w:pPr>
    </w:p>
    <w:p>
      <w:pPr>
        <w:widowControl/>
        <w:spacing w:line="590" w:lineRule="exact"/>
        <w:jc w:val="left"/>
        <w:rPr>
          <w:rFonts w:hint="eastAsia" w:ascii="仿宋_GB2312" w:hAnsi="仿宋_GB2312" w:eastAsia="仿宋_GB2312" w:cs="仿宋_GB2312"/>
          <w:color w:val="auto"/>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jc w:val="left"/>
        <w:rPr>
          <w:rFonts w:ascii="黑体" w:hAnsi="宋体" w:eastAsia="黑体" w:cs="宋体"/>
          <w:color w:val="auto"/>
          <w:kern w:val="0"/>
          <w:sz w:val="28"/>
          <w:szCs w:val="28"/>
        </w:rPr>
      </w:pPr>
    </w:p>
    <w:p>
      <w:pPr>
        <w:widowControl/>
        <w:jc w:val="left"/>
        <w:rPr>
          <w:rFonts w:ascii="黑体" w:hAnsi="宋体" w:eastAsia="黑体" w:cs="宋体"/>
          <w:color w:val="auto"/>
          <w:kern w:val="0"/>
          <w:sz w:val="28"/>
          <w:szCs w:val="28"/>
        </w:rPr>
      </w:pPr>
    </w:p>
    <w:p>
      <w:pPr>
        <w:widowControl/>
        <w:jc w:val="left"/>
        <w:rPr>
          <w:rFonts w:ascii="黑体" w:hAnsi="宋体" w:eastAsia="黑体" w:cs="宋体"/>
          <w:color w:val="auto"/>
          <w:kern w:val="0"/>
          <w:sz w:val="28"/>
          <w:szCs w:val="28"/>
        </w:rPr>
      </w:pPr>
    </w:p>
    <w:p>
      <w:pPr>
        <w:widowControl/>
        <w:jc w:val="left"/>
        <w:rPr>
          <w:rFonts w:ascii="黑体" w:hAnsi="宋体" w:eastAsia="黑体" w:cs="宋体"/>
          <w:color w:val="auto"/>
          <w:kern w:val="0"/>
          <w:sz w:val="28"/>
          <w:szCs w:val="28"/>
        </w:rPr>
      </w:pPr>
    </w:p>
    <w:p>
      <w:pPr>
        <w:widowControl/>
        <w:jc w:val="left"/>
        <w:rPr>
          <w:rFonts w:ascii="黑体" w:hAnsi="宋体" w:eastAsia="黑体" w:cs="宋体"/>
          <w:color w:val="auto"/>
          <w:kern w:val="0"/>
          <w:sz w:val="28"/>
          <w:szCs w:val="28"/>
        </w:rPr>
      </w:pPr>
    </w:p>
    <w:p>
      <w:pPr>
        <w:widowControl/>
        <w:jc w:val="left"/>
        <w:rPr>
          <w:rFonts w:ascii="黑体" w:hAnsi="宋体" w:eastAsia="黑体" w:cs="宋体"/>
          <w:color w:val="auto"/>
          <w:kern w:val="0"/>
          <w:sz w:val="28"/>
          <w:szCs w:val="28"/>
        </w:rPr>
      </w:pPr>
    </w:p>
    <w:p>
      <w:pPr>
        <w:jc w:val="center"/>
        <w:outlineLvl w:val="0"/>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第三部分 2021年度部门决算情况说明</w:t>
      </w:r>
    </w:p>
    <w:p>
      <w:pPr>
        <w:widowControl/>
        <w:jc w:val="left"/>
        <w:rPr>
          <w:rFonts w:hint="eastAsia" w:ascii="方正小标宋简体" w:hAnsi="方正小标宋简体" w:eastAsia="方正小标宋简体" w:cs="方正小标宋简体"/>
          <w:color w:val="auto"/>
          <w:sz w:val="48"/>
          <w:szCs w:val="4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2021年度收、支总计均为423.83万元。与上年度 相比，收、支总计各增加105.57万元，增长33.17%。主要原因是</w:t>
      </w:r>
      <w:r>
        <w:rPr>
          <w:rFonts w:hint="eastAsia" w:ascii="仿宋_GB2312" w:hAnsi="仿宋" w:eastAsia="仿宋_GB2312" w:cs="宋体"/>
          <w:color w:val="auto"/>
          <w:sz w:val="32"/>
          <w:szCs w:val="32"/>
          <w:lang w:eastAsia="zh-CN"/>
        </w:rPr>
        <w:t>人员</w:t>
      </w:r>
      <w:r>
        <w:rPr>
          <w:rFonts w:hint="eastAsia" w:ascii="仿宋_GB2312" w:hAnsi="仿宋" w:eastAsia="仿宋_GB2312" w:cs="宋体"/>
          <w:color w:val="auto"/>
          <w:sz w:val="32"/>
          <w:szCs w:val="32"/>
        </w:rPr>
        <w:t>经费增加。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2021 年度收入合计423.83万元，其中：财政拨款收入 423.83万元，占 100.00%；上级补助 收入0.00万元，占0.00%；事业收入0.00万元，占 0.00%；经营收入0.00万元，占0.00%；附属单位上缴收入 0.00万元，占0.00%；其他收入0.00万元，占 0.00%。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2021年度支出合计 423.83万元，其中：基本支出423.83 万元，占100.00%；项目支出 0.00万元，占0.00%；上缴上级支出0.00万元，占 0.00%；经营支出0.00万元，占0.00%；对附属单位补助支出 0.00万元，占0.00%。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四、财政拨款收入支出决算总体情况说明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仿宋_GB2312" w:hAnsi="仿宋" w:eastAsia="仿宋_GB2312" w:cs="宋体"/>
          <w:color w:val="auto"/>
          <w:sz w:val="32"/>
          <w:szCs w:val="32"/>
        </w:rPr>
        <w:t>2021年度财政拨款收、支总计均为 423.83万元。与上年度相比，财政拨款收、支总计各增加105.57万元，增长33.17%。主要原因是</w:t>
      </w:r>
      <w:r>
        <w:rPr>
          <w:rFonts w:hint="eastAsia" w:ascii="仿宋_GB2312" w:hAnsi="仿宋" w:eastAsia="仿宋_GB2312" w:cs="宋体"/>
          <w:color w:val="auto"/>
          <w:sz w:val="32"/>
          <w:szCs w:val="32"/>
          <w:lang w:eastAsia="zh-CN"/>
        </w:rPr>
        <w:t>人员</w:t>
      </w:r>
      <w:r>
        <w:rPr>
          <w:rFonts w:hint="eastAsia" w:ascii="仿宋_GB2312" w:hAnsi="仿宋" w:eastAsia="仿宋_GB2312" w:cs="宋体"/>
          <w:color w:val="auto"/>
          <w:sz w:val="32"/>
          <w:szCs w:val="32"/>
        </w:rPr>
        <w:t>经费增加</w:t>
      </w:r>
      <w:r>
        <w:rPr>
          <w:rFonts w:hint="eastAsia" w:ascii="黑体" w:hAnsi="黑体" w:eastAsia="黑体" w:cs="黑体"/>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五、一般公共预算财政拨款支出决算情况说明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（一）总体情况。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仿宋_GB2312" w:hAnsi="仿宋" w:eastAsia="仿宋_GB2312" w:cs="宋体"/>
          <w:color w:val="auto"/>
          <w:sz w:val="32"/>
          <w:szCs w:val="32"/>
        </w:rPr>
        <w:t>2021年度一般公共预算财政拨款支出423.83万元，占支出合计的 100.00%。与上年度相比，一般公共预算财政拨款支出增加105.57万元，增长33.17%。主要原因是</w:t>
      </w:r>
      <w:r>
        <w:rPr>
          <w:rFonts w:hint="eastAsia" w:ascii="仿宋_GB2312" w:hAnsi="仿宋" w:eastAsia="仿宋_GB2312" w:cs="宋体"/>
          <w:color w:val="auto"/>
          <w:sz w:val="32"/>
          <w:szCs w:val="32"/>
          <w:lang w:eastAsia="zh-CN"/>
        </w:rPr>
        <w:t>人员</w:t>
      </w:r>
      <w:r>
        <w:rPr>
          <w:rFonts w:hint="eastAsia" w:ascii="仿宋_GB2312" w:hAnsi="仿宋" w:eastAsia="仿宋_GB2312" w:cs="宋体"/>
          <w:color w:val="auto"/>
          <w:sz w:val="32"/>
          <w:szCs w:val="32"/>
        </w:rPr>
        <w:t>经费增加</w:t>
      </w:r>
      <w:r>
        <w:rPr>
          <w:rFonts w:hint="eastAsia" w:ascii="黑体" w:hAnsi="黑体" w:eastAsia="黑体" w:cs="黑体"/>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（二）结构情况。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2022年度一般公共预算财政拨款支出423.83万元，主要用于以下方面：文化旅游体育与传媒支出</w:t>
      </w:r>
      <w:r>
        <w:rPr>
          <w:rFonts w:hint="eastAsia" w:ascii="仿宋_GB2312" w:hAnsi="仿宋" w:eastAsia="仿宋_GB2312" w:cs="宋体"/>
          <w:color w:val="auto"/>
          <w:sz w:val="32"/>
          <w:szCs w:val="32"/>
          <w:lang w:val="en-US" w:eastAsia="zh-CN"/>
        </w:rPr>
        <w:t>381.68</w:t>
      </w:r>
      <w:r>
        <w:rPr>
          <w:rFonts w:hint="eastAsia" w:ascii="仿宋_GB2312" w:hAnsi="仿宋" w:eastAsia="仿宋_GB2312" w:cs="宋体"/>
          <w:color w:val="auto"/>
          <w:sz w:val="32"/>
          <w:szCs w:val="32"/>
        </w:rPr>
        <w:t>万元，占90.</w:t>
      </w:r>
      <w:r>
        <w:rPr>
          <w:rFonts w:hint="eastAsia" w:ascii="仿宋_GB2312" w:hAnsi="仿宋" w:eastAsia="仿宋_GB2312" w:cs="宋体"/>
          <w:color w:val="auto"/>
          <w:sz w:val="32"/>
          <w:szCs w:val="32"/>
          <w:lang w:val="en-US" w:eastAsia="zh-CN"/>
        </w:rPr>
        <w:t>05</w:t>
      </w:r>
      <w:r>
        <w:rPr>
          <w:rFonts w:hint="eastAsia" w:ascii="仿宋_GB2312" w:hAnsi="仿宋" w:eastAsia="仿宋_GB2312" w:cs="宋体"/>
          <w:color w:val="auto"/>
          <w:sz w:val="32"/>
          <w:szCs w:val="32"/>
        </w:rPr>
        <w:t>%；社会保障和就业支出</w:t>
      </w:r>
      <w:r>
        <w:rPr>
          <w:rFonts w:hint="eastAsia" w:ascii="仿宋_GB2312" w:hAnsi="仿宋" w:eastAsia="仿宋_GB2312" w:cs="宋体"/>
          <w:color w:val="auto"/>
          <w:sz w:val="32"/>
          <w:szCs w:val="32"/>
          <w:lang w:val="en-US" w:eastAsia="zh-CN"/>
        </w:rPr>
        <w:t>24.4</w:t>
      </w:r>
      <w:r>
        <w:rPr>
          <w:rFonts w:hint="eastAsia" w:ascii="仿宋_GB2312" w:hAnsi="仿宋" w:eastAsia="仿宋_GB2312" w:cs="宋体"/>
          <w:color w:val="auto"/>
          <w:sz w:val="32"/>
          <w:szCs w:val="32"/>
        </w:rPr>
        <w:t>万元，占5.</w:t>
      </w:r>
      <w:r>
        <w:rPr>
          <w:rFonts w:hint="eastAsia" w:ascii="仿宋_GB2312" w:hAnsi="仿宋" w:eastAsia="仿宋_GB2312" w:cs="宋体"/>
          <w:color w:val="auto"/>
          <w:sz w:val="32"/>
          <w:szCs w:val="32"/>
          <w:lang w:val="en-US" w:eastAsia="zh-CN"/>
        </w:rPr>
        <w:t>76</w:t>
      </w:r>
      <w:r>
        <w:rPr>
          <w:rFonts w:hint="eastAsia" w:ascii="仿宋_GB2312" w:hAnsi="仿宋" w:eastAsia="仿宋_GB2312" w:cs="宋体"/>
          <w:color w:val="auto"/>
          <w:sz w:val="32"/>
          <w:szCs w:val="32"/>
        </w:rPr>
        <w:t>%；卫生健康支出7.</w:t>
      </w:r>
      <w:r>
        <w:rPr>
          <w:rFonts w:hint="eastAsia" w:ascii="仿宋_GB2312" w:hAnsi="仿宋" w:eastAsia="仿宋_GB2312" w:cs="宋体"/>
          <w:color w:val="auto"/>
          <w:sz w:val="32"/>
          <w:szCs w:val="32"/>
          <w:lang w:val="en-US" w:eastAsia="zh-CN"/>
        </w:rPr>
        <w:t>1</w:t>
      </w:r>
      <w:r>
        <w:rPr>
          <w:rFonts w:hint="eastAsia" w:ascii="仿宋_GB2312" w:hAnsi="仿宋" w:eastAsia="仿宋_GB2312" w:cs="宋体"/>
          <w:color w:val="auto"/>
          <w:sz w:val="32"/>
          <w:szCs w:val="32"/>
        </w:rPr>
        <w:t>万元，占1.6</w:t>
      </w:r>
      <w:r>
        <w:rPr>
          <w:rFonts w:hint="eastAsia" w:ascii="仿宋_GB2312" w:hAnsi="仿宋" w:eastAsia="仿宋_GB2312" w:cs="宋体"/>
          <w:color w:val="auto"/>
          <w:sz w:val="32"/>
          <w:szCs w:val="32"/>
          <w:lang w:val="en-US" w:eastAsia="zh-CN"/>
        </w:rPr>
        <w:t>8</w:t>
      </w:r>
      <w:r>
        <w:rPr>
          <w:rFonts w:hint="eastAsia" w:ascii="仿宋_GB2312" w:hAnsi="仿宋" w:eastAsia="仿宋_GB2312" w:cs="宋体"/>
          <w:color w:val="auto"/>
          <w:sz w:val="32"/>
          <w:szCs w:val="32"/>
        </w:rPr>
        <w:t>%；住房保障支出1</w:t>
      </w:r>
      <w:r>
        <w:rPr>
          <w:rFonts w:hint="eastAsia" w:ascii="仿宋_GB2312" w:hAnsi="仿宋" w:eastAsia="仿宋_GB2312" w:cs="宋体"/>
          <w:color w:val="auto"/>
          <w:sz w:val="32"/>
          <w:szCs w:val="32"/>
          <w:lang w:val="en-US" w:eastAsia="zh-CN"/>
        </w:rPr>
        <w:t>0</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val="en-US" w:eastAsia="zh-CN"/>
        </w:rPr>
        <w:t>65</w:t>
      </w:r>
      <w:r>
        <w:rPr>
          <w:rFonts w:hint="eastAsia" w:ascii="仿宋_GB2312" w:hAnsi="仿宋" w:eastAsia="仿宋_GB2312" w:cs="宋体"/>
          <w:color w:val="auto"/>
          <w:sz w:val="32"/>
          <w:szCs w:val="32"/>
        </w:rPr>
        <w:t>万元，占2.</w:t>
      </w:r>
      <w:r>
        <w:rPr>
          <w:rFonts w:hint="eastAsia" w:ascii="仿宋_GB2312" w:hAnsi="仿宋" w:eastAsia="仿宋_GB2312" w:cs="宋体"/>
          <w:color w:val="auto"/>
          <w:sz w:val="32"/>
          <w:szCs w:val="32"/>
          <w:lang w:val="en-US" w:eastAsia="zh-CN"/>
        </w:rPr>
        <w:t>5</w:t>
      </w:r>
      <w:r>
        <w:rPr>
          <w:rFonts w:hint="eastAsia" w:ascii="仿宋_GB2312" w:hAnsi="仿宋" w:eastAsia="仿宋_GB2312" w:cs="宋体"/>
          <w:color w:val="auto"/>
          <w:sz w:val="32"/>
          <w:szCs w:val="32"/>
        </w:rPr>
        <w:t>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（三）具体情况。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2021 年度一般公共预算财政拨款支出年初预算为313.01万元，支出决算为 423.83万元，完成年初预算的135.41%。其中：</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color w:val="auto"/>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文化旅游体育与传媒支出（类）</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体育（款）</w:t>
      </w:r>
      <w:r>
        <w:rPr>
          <w:rFonts w:hint="eastAsia" w:ascii="仿宋_GB2312" w:hAnsi="仿宋_GB2312" w:eastAsia="仿宋_GB2312" w:cs="仿宋_GB2312"/>
          <w:b/>
          <w:bCs/>
          <w:color w:val="auto"/>
          <w:sz w:val="32"/>
          <w:szCs w:val="32"/>
          <w:lang w:eastAsia="zh-CN"/>
        </w:rPr>
        <w:t>其他</w:t>
      </w:r>
      <w:r>
        <w:rPr>
          <w:rFonts w:hint="eastAsia" w:ascii="仿宋_GB2312" w:hAnsi="仿宋_GB2312" w:eastAsia="仿宋_GB2312" w:cs="仿宋_GB2312"/>
          <w:b/>
          <w:bCs/>
          <w:color w:val="auto"/>
          <w:sz w:val="32"/>
          <w:szCs w:val="32"/>
        </w:rPr>
        <w:t>体育支出（项）。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313.01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247.69</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79.13</w:t>
      </w:r>
      <w:r>
        <w:rPr>
          <w:rFonts w:hint="eastAsia" w:ascii="仿宋_GB2312" w:hAnsi="仿宋_GB2312" w:eastAsia="仿宋_GB2312" w:cs="仿宋_GB2312"/>
          <w:color w:val="auto"/>
          <w:sz w:val="32"/>
          <w:szCs w:val="32"/>
        </w:rPr>
        <w:t>%。决算数与年初预算数存在差异的主要原因是</w:t>
      </w:r>
      <w:r>
        <w:rPr>
          <w:rFonts w:hint="eastAsia" w:ascii="仿宋_GB2312" w:hAnsi="仿宋_GB2312" w:eastAsia="仿宋_GB2312" w:cs="仿宋_GB2312"/>
          <w:color w:val="auto"/>
          <w:sz w:val="32"/>
          <w:szCs w:val="32"/>
          <w:lang w:eastAsia="zh-CN"/>
        </w:rPr>
        <w:t>公用</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文化旅游体育与传媒支出（类）体育（款）体育场馆（项）。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104</w:t>
      </w:r>
      <w:r>
        <w:rPr>
          <w:rFonts w:hint="eastAsia" w:ascii="仿宋_GB2312" w:hAnsi="仿宋_GB2312" w:eastAsia="仿宋_GB2312" w:cs="仿宋_GB2312"/>
          <w:color w:val="auto"/>
          <w:sz w:val="32"/>
          <w:szCs w:val="32"/>
        </w:rPr>
        <w:t>万元。决算数与年初预算数存在差异的主要原因是</w:t>
      </w:r>
      <w:r>
        <w:rPr>
          <w:rFonts w:hint="eastAsia" w:ascii="仿宋_GB2312" w:hAnsi="仿宋_GB2312" w:eastAsia="仿宋_GB2312" w:cs="仿宋_GB2312"/>
          <w:color w:val="auto"/>
          <w:sz w:val="32"/>
          <w:szCs w:val="32"/>
          <w:lang w:eastAsia="zh-CN"/>
        </w:rPr>
        <w:t>发展需要开展了新的业务。</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文化旅游体育与传媒支出（类）</w:t>
      </w:r>
      <w:r>
        <w:rPr>
          <w:rFonts w:hint="eastAsia" w:ascii="仿宋_GB2312" w:hAnsi="仿宋_GB2312" w:eastAsia="仿宋_GB2312" w:cs="仿宋_GB2312"/>
          <w:b/>
          <w:bCs/>
          <w:color w:val="auto"/>
          <w:sz w:val="32"/>
          <w:szCs w:val="32"/>
          <w:lang w:eastAsia="zh-CN"/>
        </w:rPr>
        <w:t>其他</w:t>
      </w:r>
      <w:r>
        <w:rPr>
          <w:rFonts w:hint="eastAsia" w:ascii="仿宋_GB2312" w:hAnsi="仿宋_GB2312" w:eastAsia="仿宋_GB2312" w:cs="仿宋_GB2312"/>
          <w:b/>
          <w:bCs/>
          <w:color w:val="auto"/>
          <w:sz w:val="32"/>
          <w:szCs w:val="32"/>
        </w:rPr>
        <w:t>文化旅游体育与传媒支出（款）</w:t>
      </w:r>
      <w:r>
        <w:rPr>
          <w:rFonts w:hint="eastAsia" w:ascii="仿宋_GB2312" w:hAnsi="仿宋_GB2312" w:eastAsia="仿宋_GB2312" w:cs="仿宋_GB2312"/>
          <w:b/>
          <w:bCs/>
          <w:color w:val="auto"/>
          <w:sz w:val="32"/>
          <w:szCs w:val="32"/>
          <w:lang w:eastAsia="zh-CN"/>
        </w:rPr>
        <w:t>其他</w:t>
      </w:r>
      <w:r>
        <w:rPr>
          <w:rFonts w:hint="eastAsia" w:ascii="仿宋_GB2312" w:hAnsi="仿宋_GB2312" w:eastAsia="仿宋_GB2312" w:cs="仿宋_GB2312"/>
          <w:b/>
          <w:bCs/>
          <w:color w:val="auto"/>
          <w:sz w:val="32"/>
          <w:szCs w:val="32"/>
        </w:rPr>
        <w:t>文化旅游体育与传媒支出（项）。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决算数与年初预算数存在差异的主要原因是</w:t>
      </w:r>
      <w:r>
        <w:rPr>
          <w:rFonts w:hint="eastAsia" w:ascii="仿宋_GB2312" w:hAnsi="仿宋_GB2312" w:eastAsia="仿宋_GB2312" w:cs="仿宋_GB2312"/>
          <w:color w:val="auto"/>
          <w:sz w:val="32"/>
          <w:szCs w:val="32"/>
          <w:lang w:eastAsia="zh-CN"/>
        </w:rPr>
        <w:t>发展需要开展了新的业务</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社会保障和就业支出（类）行政事业单位</w:t>
      </w:r>
      <w:r>
        <w:rPr>
          <w:rFonts w:hint="eastAsia" w:ascii="仿宋_GB2312" w:hAnsi="仿宋_GB2312" w:eastAsia="仿宋_GB2312" w:cs="仿宋_GB2312"/>
          <w:b/>
          <w:bCs/>
          <w:color w:val="auto"/>
          <w:sz w:val="32"/>
          <w:szCs w:val="32"/>
          <w:lang w:eastAsia="zh-CN"/>
        </w:rPr>
        <w:t>养老支出</w:t>
      </w:r>
      <w:r>
        <w:rPr>
          <w:rFonts w:hint="eastAsia" w:ascii="仿宋_GB2312" w:hAnsi="仿宋_GB2312" w:eastAsia="仿宋_GB2312" w:cs="仿宋_GB2312"/>
          <w:b/>
          <w:bCs/>
          <w:color w:val="auto"/>
          <w:sz w:val="32"/>
          <w:szCs w:val="32"/>
        </w:rPr>
        <w:t>（款）机关事业单位基本养老保险缴费支出（项）。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14.26</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14.26</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决算数与年初预算数不存在差异。</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社会保障和就业支出（类）行政事业单位</w:t>
      </w:r>
      <w:r>
        <w:rPr>
          <w:rFonts w:hint="eastAsia" w:ascii="仿宋_GB2312" w:hAnsi="仿宋_GB2312" w:eastAsia="仿宋_GB2312" w:cs="仿宋_GB2312"/>
          <w:b/>
          <w:bCs/>
          <w:color w:val="auto"/>
          <w:sz w:val="32"/>
          <w:szCs w:val="32"/>
          <w:lang w:eastAsia="zh-CN"/>
        </w:rPr>
        <w:t>养老支出</w:t>
      </w:r>
      <w:r>
        <w:rPr>
          <w:rFonts w:hint="eastAsia" w:ascii="仿宋_GB2312" w:hAnsi="仿宋_GB2312" w:eastAsia="仿宋_GB2312" w:cs="仿宋_GB2312"/>
          <w:b/>
          <w:bCs/>
          <w:color w:val="auto"/>
          <w:sz w:val="32"/>
          <w:szCs w:val="32"/>
        </w:rPr>
        <w:t>（款）机关事业单位职业年金缴费支出（项）。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7.13</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7.13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决算数与年初预算数不存在差异。</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社会保障和就业支出（类）抚恤（款）死亡抚恤（项）。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1.72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1.72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决算数与年初预算数不存在差异。</w:t>
      </w:r>
    </w:p>
    <w:p>
      <w:pPr>
        <w:pStyle w:val="2"/>
        <w:ind w:left="0" w:leftChars="0"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社会保障和就业支出（类）其他社会保障和就业支出（款）其他社会保障和就业支出（项）。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1.28</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1.28</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决算数与年初预算数不存在差异。</w:t>
      </w:r>
    </w:p>
    <w:p>
      <w:pPr>
        <w:pStyle w:val="2"/>
        <w:ind w:left="0" w:leftChars="0"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卫生健康支出（类）行政事业单位医疗（款）事业单位医疗（项）。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7.1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7.1</w:t>
      </w:r>
      <w:r>
        <w:rPr>
          <w:rFonts w:hint="eastAsia" w:ascii="仿宋_GB2312" w:hAnsi="仿宋_GB2312" w:eastAsia="仿宋_GB2312" w:cs="仿宋_GB2312"/>
          <w:color w:val="auto"/>
          <w:sz w:val="32"/>
          <w:szCs w:val="32"/>
        </w:rPr>
        <w:t>万元，完成年初预算的100%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决算数与年初预算数不存在差异。</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color w:val="auto"/>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住房保障支出（类）住房改革支出（款）住房公积金（项）。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10.65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10.65</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决算数与年初预算数不存在差异。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2021 年度一般公共预算财政拨款基本支出423.83万元。其中：人员经费 286.43万元，主要包括：基本工资、津贴补贴、伙食补助费、绩效工资、机关事业单位基本养老保险缴 费、职业年金缴费、其他社会保障缴费、其他工资福利支出、离休费、退休费、抚恤金、生活补助、医疗费、奖励金、住房公积金、采暖补贴、物业服务补贴、其他 对个人和家庭的补助支出……；公用经费137.40万元，主要包括：办公费、印刷费、咨询费、手续费、水 费、电费、邮电费、取暖费、物业管理费、差旅费、因公出国（境）费用、维修（护）费、租赁费、会议费、培训费、公务接待费、专用材料费、劳务费、委托业务 费、工会经费、福利费、公务用车运行维护费、其他交通费用、税金及附加费用、其他商品和服务支出、办公设备购置、专用设备购置、信息网络及软件购置更新、 其他资本性支出。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七、一般公共预算财政拨款“三公”经费支出决算情况说明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2021 年度“三公”经费财政拨款支出预算为1.80万元，支出决算为 1.80万元，完成预算的100%，决算数与年初预算数不存在差异。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 年度“三公”经费财政拨款支出决算中，因公出国（境）费支出决算0.00万元，完成预算的0.00%，占0.00%；公务用车购置及运行费支出决算1.80万元，完成预算的100.00%，占 100.00%；公务接待费支出决算 0.00万元，完成预算的0.00%，占0.00%；具体情况如下：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1．</w:t>
      </w:r>
      <w:r>
        <w:rPr>
          <w:rFonts w:hint="eastAsia" w:ascii="仿宋_GB2312" w:hAnsi="仿宋_GB2312" w:eastAsia="仿宋_GB2312" w:cs="仿宋_GB2312"/>
          <w:b/>
          <w:bCs/>
          <w:color w:val="auto"/>
          <w:sz w:val="32"/>
          <w:szCs w:val="32"/>
        </w:rPr>
        <w:t>因公出国（境）费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，全年因公出国（境）团组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个，累计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人次。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2． 公务用车购置及运行费</w:t>
      </w:r>
      <w:r>
        <w:rPr>
          <w:rFonts w:hint="eastAsia" w:ascii="仿宋_GB2312" w:hAnsi="仿宋_GB2312" w:eastAsia="仿宋_GB2312" w:cs="仿宋_GB2312"/>
          <w:color w:val="auto"/>
          <w:sz w:val="32"/>
          <w:szCs w:val="32"/>
          <w:lang w:eastAsia="zh-CN"/>
        </w:rPr>
        <w:t>年初预算为1.80万元，支出决算为 1.80万元，完成年初预算的100.00%，决算数与年初预算数不存在差异。</w:t>
      </w:r>
      <w:r>
        <w:rPr>
          <w:rFonts w:hint="eastAsia" w:ascii="仿宋_GB2312" w:hAnsi="仿宋_GB2312" w:eastAsia="仿宋_GB2312" w:cs="仿宋_GB2312"/>
          <w:color w:val="auto"/>
          <w:sz w:val="32"/>
          <w:szCs w:val="32"/>
        </w:rPr>
        <w:t>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公务用车购置支出0.00万元，购置车辆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台，其中</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eastAsia="zh-CN"/>
        </w:rPr>
        <w:t>公务用车运行支出1.80万元。</w:t>
      </w:r>
      <w:r>
        <w:rPr>
          <w:rFonts w:hint="eastAsia" w:ascii="仿宋_GB2312" w:hAnsi="仿宋_GB2312" w:eastAsia="仿宋_GB2312" w:cs="仿宋_GB2312"/>
          <w:color w:val="auto"/>
          <w:sz w:val="32"/>
          <w:szCs w:val="32"/>
        </w:rPr>
        <w:t>主要用于车辆燃料费、车辆检测费、维修费、过路过桥费、保险费等支出</w:t>
      </w:r>
      <w:r>
        <w:rPr>
          <w:rFonts w:hint="eastAsia" w:ascii="仿宋_GB2312" w:hAnsi="仿宋_GB2312" w:eastAsia="仿宋_GB2312" w:cs="仿宋_GB2312"/>
          <w:color w:val="auto"/>
          <w:sz w:val="32"/>
          <w:szCs w:val="32"/>
          <w:lang w:eastAsia="zh-CN"/>
        </w:rPr>
        <w:t>。2021年期末，单位开支财政拨款的公务用车保有量为</w:t>
      </w:r>
      <w:r>
        <w:rPr>
          <w:rFonts w:hint="eastAsia" w:ascii="仿宋_GB2312" w:hAnsi="仿宋_GB2312" w:eastAsia="仿宋_GB2312" w:cs="仿宋_GB2312"/>
          <w:color w:val="auto"/>
          <w:sz w:val="32"/>
          <w:szCs w:val="32"/>
          <w:lang w:val="en-US" w:eastAsia="zh-CN"/>
        </w:rPr>
        <w:t>1辆</w:t>
      </w:r>
      <w:r>
        <w:rPr>
          <w:rFonts w:hint="eastAsia" w:ascii="黑体" w:hAnsi="黑体" w:eastAsia="黑体" w:cs="黑体"/>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 公务接待费</w:t>
      </w:r>
      <w:r>
        <w:rPr>
          <w:rFonts w:hint="eastAsia" w:ascii="仿宋_GB2312" w:hAnsi="仿宋_GB2312" w:eastAsia="仿宋_GB2312" w:cs="仿宋_GB2312"/>
          <w:color w:val="auto"/>
          <w:sz w:val="32"/>
          <w:szCs w:val="32"/>
          <w:lang w:eastAsia="zh-CN"/>
        </w:rPr>
        <w:t>年初预算为0.00万元，支出决算为0.00万元，完成年初预算的0.00%。决算数与年初预算数不存在差异</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其中：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外宾接待</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万元。2021年共接待国（境）外来访团组个、来访外宾人次（不包括陪同人员）。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其他国内公务接待</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万元。2021年共接待国内来访团组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个、来宾</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人次（不包括陪同人员）</w:t>
      </w:r>
      <w:r>
        <w:rPr>
          <w:rFonts w:hint="eastAsia" w:ascii="黑体" w:hAnsi="黑体" w:eastAsia="黑体" w:cs="黑体"/>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八、政府性基金预算财政拨款支出决算情况说明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2021 年度政府性基金预算财政拨款支出年初预算为0.00万元，支出决算为 0.00万元，完成年初预算的0.00%。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九、机关运行经费支出情况说明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我单位不是行政机关，也不是参照公务员管理事业单位，没有机关运行经费支出。）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十、政府采购支出情况说明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2021 年度政府采购支出总额0.00万元，其中：政府采购货物支出 0.00万元、政府采购工程支出0.00万元、政府采购服务支出0.00万元。授予中小企业合同金额 0.00万元，占政府采购支出总额的0.00%,其中：授予小微企业合同金额0.00万元，占政府 采购支出总额的0.00%。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十一、国有资产占用情况说明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2021 年期末，我单位共有车辆1辆，其中：省级领导干部用车0辆、主要领导干部用车 0辆、机要通信用车0辆、应急保障车0辆、执法执勤用车 0辆、特种专业技术用车0辆、离退休干部用车0辆、其他用 车1辆；单位价值50万元以上通用设备0台（套），单位价值100万元以上专用设备 0台（套）。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十二、预算绩效情况说明</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（一）绩效管理工作开展情况。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2021年，单位纳入预算绩效管理的支出总额为</w:t>
      </w:r>
      <w:r>
        <w:rPr>
          <w:rFonts w:hint="eastAsia" w:ascii="仿宋_GB2312" w:hAnsi="仿宋" w:eastAsia="仿宋_GB2312" w:cs="宋体"/>
          <w:color w:val="auto"/>
          <w:sz w:val="32"/>
          <w:szCs w:val="32"/>
          <w:lang w:val="en-US" w:eastAsia="zh-CN"/>
        </w:rPr>
        <w:t>272.82</w:t>
      </w:r>
      <w:r>
        <w:rPr>
          <w:rFonts w:hint="eastAsia" w:ascii="仿宋_GB2312" w:hAnsi="仿宋" w:eastAsia="仿宋_GB2312" w:cs="宋体"/>
          <w:color w:val="auto"/>
          <w:sz w:val="32"/>
          <w:szCs w:val="32"/>
        </w:rPr>
        <w:t>万元，其中人员经费支出</w:t>
      </w:r>
      <w:r>
        <w:rPr>
          <w:rFonts w:hint="eastAsia" w:ascii="仿宋_GB2312" w:hAnsi="仿宋" w:eastAsia="仿宋_GB2312" w:cs="宋体"/>
          <w:color w:val="auto"/>
          <w:sz w:val="32"/>
          <w:szCs w:val="32"/>
          <w:lang w:val="en-US" w:eastAsia="zh-CN"/>
        </w:rPr>
        <w:t>138.82</w:t>
      </w:r>
      <w:r>
        <w:rPr>
          <w:rFonts w:hint="eastAsia" w:ascii="仿宋_GB2312" w:hAnsi="仿宋" w:eastAsia="仿宋_GB2312" w:cs="宋体"/>
          <w:color w:val="auto"/>
          <w:sz w:val="32"/>
          <w:szCs w:val="32"/>
        </w:rPr>
        <w:t>万元；支出项目共</w:t>
      </w:r>
      <w:r>
        <w:rPr>
          <w:rFonts w:hint="eastAsia" w:ascii="仿宋_GB2312" w:hAnsi="仿宋" w:eastAsia="仿宋_GB2312" w:cs="宋体"/>
          <w:color w:val="auto"/>
          <w:sz w:val="32"/>
          <w:szCs w:val="32"/>
          <w:lang w:val="en-US" w:eastAsia="zh-CN"/>
        </w:rPr>
        <w:t>3</w:t>
      </w:r>
      <w:r>
        <w:rPr>
          <w:rFonts w:hint="eastAsia" w:ascii="仿宋_GB2312" w:hAnsi="仿宋" w:eastAsia="仿宋_GB2312" w:cs="宋体"/>
          <w:color w:val="auto"/>
          <w:sz w:val="32"/>
          <w:szCs w:val="32"/>
        </w:rPr>
        <w:t>个，支出金额</w:t>
      </w:r>
      <w:r>
        <w:rPr>
          <w:rFonts w:hint="eastAsia" w:ascii="仿宋_GB2312" w:hAnsi="仿宋" w:eastAsia="仿宋_GB2312" w:cs="宋体"/>
          <w:color w:val="auto"/>
          <w:sz w:val="32"/>
          <w:szCs w:val="32"/>
          <w:lang w:val="en-US" w:eastAsia="zh-CN"/>
        </w:rPr>
        <w:t>272.82</w:t>
      </w:r>
      <w:r>
        <w:rPr>
          <w:rFonts w:hint="eastAsia" w:ascii="仿宋_GB2312" w:hAnsi="仿宋" w:eastAsia="仿宋_GB2312" w:cs="宋体"/>
          <w:color w:val="auto"/>
          <w:sz w:val="32"/>
          <w:szCs w:val="32"/>
        </w:rPr>
        <w:t>万元。其中，进行项目绩效自评</w:t>
      </w:r>
      <w:r>
        <w:rPr>
          <w:rFonts w:hint="eastAsia" w:ascii="仿宋_GB2312" w:hAnsi="仿宋" w:eastAsia="仿宋_GB2312" w:cs="宋体"/>
          <w:color w:val="auto"/>
          <w:sz w:val="32"/>
          <w:szCs w:val="32"/>
          <w:lang w:val="en-US" w:eastAsia="zh-CN"/>
        </w:rPr>
        <w:t>3</w:t>
      </w:r>
      <w:r>
        <w:rPr>
          <w:rFonts w:hint="eastAsia" w:ascii="仿宋_GB2312" w:hAnsi="仿宋" w:eastAsia="仿宋_GB2312" w:cs="宋体"/>
          <w:color w:val="auto"/>
          <w:sz w:val="32"/>
          <w:szCs w:val="32"/>
        </w:rPr>
        <w:t>个，自评金额</w:t>
      </w:r>
      <w:r>
        <w:rPr>
          <w:rFonts w:hint="eastAsia" w:ascii="仿宋_GB2312" w:hAnsi="仿宋" w:eastAsia="仿宋_GB2312" w:cs="宋体"/>
          <w:color w:val="auto"/>
          <w:sz w:val="32"/>
          <w:szCs w:val="32"/>
          <w:lang w:val="en-US" w:eastAsia="zh-CN"/>
        </w:rPr>
        <w:t>272.82</w:t>
      </w:r>
      <w:r>
        <w:rPr>
          <w:rFonts w:hint="eastAsia" w:ascii="仿宋_GB2312" w:hAnsi="仿宋" w:eastAsia="仿宋_GB2312" w:cs="宋体"/>
          <w:color w:val="auto"/>
          <w:sz w:val="32"/>
          <w:szCs w:val="32"/>
        </w:rPr>
        <w:t>万元。</w:t>
      </w:r>
      <w:r>
        <w:rPr>
          <w:rFonts w:hint="eastAsia" w:ascii="仿宋_GB2312" w:hAnsi="仿宋" w:eastAsia="仿宋_GB2312" w:cs="宋体"/>
          <w:color w:val="auto"/>
          <w:sz w:val="32"/>
          <w:szCs w:val="32"/>
        </w:rPr>
        <w:t>纳入重点绩效评价（部门评价或财政评价）</w:t>
      </w:r>
      <w:r>
        <w:rPr>
          <w:rFonts w:hint="eastAsia" w:ascii="仿宋_GB2312" w:hAnsi="仿宋" w:eastAsia="仿宋_GB2312" w:cs="宋体"/>
          <w:color w:val="auto"/>
          <w:sz w:val="32"/>
          <w:szCs w:val="32"/>
          <w:lang w:val="en-US" w:eastAsia="zh-CN"/>
        </w:rPr>
        <w:t>0</w:t>
      </w:r>
      <w:r>
        <w:rPr>
          <w:rFonts w:hint="eastAsia" w:ascii="仿宋_GB2312" w:hAnsi="仿宋" w:eastAsia="仿宋_GB2312" w:cs="宋体"/>
          <w:color w:val="auto"/>
          <w:sz w:val="32"/>
          <w:szCs w:val="32"/>
        </w:rPr>
        <w:t>个。</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（二）项目绩效自评结果。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_GB2312"/>
          <w:color w:val="auto"/>
          <w:sz w:val="32"/>
          <w:szCs w:val="32"/>
        </w:rPr>
      </w:pPr>
      <w:r>
        <w:rPr>
          <w:rFonts w:hint="eastAsia" w:ascii="仿宋_GB2312" w:hAnsi="仿宋" w:eastAsia="仿宋_GB2312" w:cs="宋体"/>
          <w:color w:val="auto"/>
          <w:sz w:val="32"/>
          <w:szCs w:val="32"/>
          <w:lang w:val="en-US" w:eastAsia="zh-CN"/>
        </w:rPr>
        <w:t>202</w:t>
      </w:r>
      <w:r>
        <w:rPr>
          <w:rFonts w:hint="default" w:ascii="仿宋_GB2312" w:hAnsi="仿宋" w:eastAsia="仿宋_GB2312" w:cs="宋体"/>
          <w:color w:val="auto"/>
          <w:sz w:val="32"/>
          <w:szCs w:val="32"/>
          <w:lang w:val="en-US" w:eastAsia="zh-CN"/>
        </w:rPr>
        <w:t>1</w:t>
      </w:r>
      <w:r>
        <w:rPr>
          <w:rFonts w:hint="eastAsia" w:ascii="仿宋_GB2312" w:hAnsi="仿宋" w:eastAsia="仿宋_GB2312" w:cs="宋体"/>
          <w:color w:val="auto"/>
          <w:sz w:val="32"/>
          <w:szCs w:val="32"/>
        </w:rPr>
        <w:t>年度建立了各项财务管理制度，相关管理制度合法、合规、完整，相关管理制度得到有效执行，专项资金管理制度和厉行节约制度健全。支出符合国家财经法规和财务管理制度规定以及有关专项资金管理办法的规定，资金的拨付有完整的审批过程和手续，支出上符合部门预算批复的用途，资金使用无截留、挤占、挪用、虚列支出等情况。</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outlineLvl w:val="2"/>
        <w:rPr>
          <w:rFonts w:hint="default" w:ascii="仿宋_GB2312" w:hAnsi="仿宋" w:eastAsia="仿宋_GB2312" w:cs="宋体"/>
          <w:color w:val="auto"/>
          <w:sz w:val="32"/>
          <w:szCs w:val="32"/>
          <w:lang w:val="en-US"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重点绩效评价结果</w:t>
      </w:r>
      <w:r>
        <w:rPr>
          <w:rFonts w:hint="eastAsia" w:ascii="楷体_GB2312" w:hAnsi="楷体_GB2312" w:eastAsia="楷体_GB2312" w:cs="楷体_GB2312"/>
          <w:b/>
          <w:bCs/>
          <w:color w:val="auto"/>
          <w:sz w:val="32"/>
          <w:szCs w:val="32"/>
        </w:rPr>
        <w:t>。</w:t>
      </w:r>
    </w:p>
    <w:p>
      <w:pPr>
        <w:pStyle w:val="2"/>
        <w:ind w:firstLine="960" w:firstLineChars="300"/>
        <w:rPr>
          <w:rFonts w:hint="default"/>
          <w:color w:val="auto"/>
          <w:lang w:val="en-US" w:eastAsia="zh-CN"/>
        </w:rPr>
        <w:sectPr>
          <w:pgSz w:w="11906" w:h="16838"/>
          <w:pgMar w:top="1701" w:right="1417" w:bottom="1587" w:left="1474" w:header="720" w:footer="720"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仿宋_GB2312" w:hAnsi="仿宋" w:eastAsia="仿宋_GB2312" w:cs="宋体"/>
          <w:color w:val="auto"/>
          <w:sz w:val="32"/>
          <w:szCs w:val="32"/>
          <w:lang w:val="en-US" w:eastAsia="zh-CN"/>
        </w:rPr>
        <w:t>我单位无重点绩效评价项目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color w:val="auto"/>
          <w:sz w:val="32"/>
          <w:szCs w:val="32"/>
        </w:rPr>
      </w:pPr>
    </w:p>
    <w:p>
      <w:pPr>
        <w:pStyle w:val="2"/>
        <w:rPr>
          <w:rFonts w:hint="eastAsia" w:ascii="楷体_GB2312" w:hAnsi="楷体_GB2312" w:eastAsia="楷体_GB2312" w:cs="楷体_GB2312"/>
          <w:color w:val="auto"/>
          <w:sz w:val="32"/>
          <w:szCs w:val="32"/>
        </w:rPr>
      </w:pPr>
    </w:p>
    <w:p>
      <w:pPr>
        <w:pStyle w:val="4"/>
        <w:rPr>
          <w:rFonts w:hint="eastAsia" w:ascii="楷体_GB2312" w:hAnsi="楷体_GB2312" w:eastAsia="楷体_GB2312" w:cs="楷体_GB2312"/>
          <w:color w:val="auto"/>
          <w:sz w:val="32"/>
          <w:szCs w:val="32"/>
        </w:rPr>
      </w:pPr>
    </w:p>
    <w:p>
      <w:pPr>
        <w:pStyle w:val="4"/>
        <w:rPr>
          <w:rFonts w:hint="eastAsia" w:ascii="楷体_GB2312" w:hAnsi="楷体_GB2312" w:eastAsia="楷体_GB2312" w:cs="楷体_GB2312"/>
          <w:color w:val="auto"/>
          <w:sz w:val="32"/>
          <w:szCs w:val="32"/>
        </w:rPr>
      </w:pPr>
    </w:p>
    <w:p>
      <w:pPr>
        <w:pStyle w:val="4"/>
        <w:rPr>
          <w:rFonts w:hint="eastAsia" w:ascii="楷体_GB2312" w:hAnsi="楷体_GB2312" w:eastAsia="楷体_GB2312" w:cs="楷体_GB2312"/>
          <w:color w:val="auto"/>
          <w:sz w:val="32"/>
          <w:szCs w:val="32"/>
        </w:rPr>
      </w:pPr>
    </w:p>
    <w:p>
      <w:pPr>
        <w:pStyle w:val="4"/>
        <w:rPr>
          <w:rFonts w:hint="eastAsia" w:ascii="楷体_GB2312" w:hAnsi="楷体_GB2312" w:eastAsia="楷体_GB2312" w:cs="楷体_GB2312"/>
          <w:color w:val="auto"/>
          <w:sz w:val="32"/>
          <w:szCs w:val="32"/>
        </w:rPr>
      </w:pPr>
    </w:p>
    <w:p>
      <w:pPr>
        <w:pStyle w:val="4"/>
        <w:rPr>
          <w:rFonts w:hint="eastAsia" w:ascii="楷体_GB2312" w:hAnsi="楷体_GB2312" w:eastAsia="楷体_GB2312" w:cs="楷体_GB2312"/>
          <w:color w:val="auto"/>
          <w:sz w:val="32"/>
          <w:szCs w:val="32"/>
        </w:rPr>
      </w:pPr>
    </w:p>
    <w:p>
      <w:pPr>
        <w:pStyle w:val="4"/>
        <w:rPr>
          <w:rFonts w:hint="eastAsia" w:ascii="楷体_GB2312" w:hAnsi="楷体_GB2312" w:eastAsia="楷体_GB2312" w:cs="楷体_GB2312"/>
          <w:color w:val="auto"/>
          <w:sz w:val="32"/>
          <w:szCs w:val="32"/>
        </w:rPr>
      </w:pPr>
    </w:p>
    <w:p>
      <w:pPr>
        <w:jc w:val="center"/>
        <w:outlineLvl w:val="0"/>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第四部分  名词解释</w:t>
      </w:r>
    </w:p>
    <w:p>
      <w:pPr>
        <w:jc w:val="center"/>
        <w:rPr>
          <w:rFonts w:hint="eastAsia" w:ascii="黑体" w:hAnsi="黑体" w:eastAsia="黑体" w:cs="黑体"/>
          <w:color w:val="auto"/>
          <w:sz w:val="48"/>
          <w:szCs w:val="48"/>
        </w:rPr>
      </w:pPr>
    </w:p>
    <w:p>
      <w:pPr>
        <w:jc w:val="center"/>
        <w:outlineLvl w:val="0"/>
        <w:rPr>
          <w:rFonts w:hint="eastAsia" w:ascii="黑体" w:hAnsi="黑体" w:eastAsia="黑体" w:cs="黑体"/>
          <w:color w:val="auto"/>
          <w:sz w:val="48"/>
          <w:szCs w:val="48"/>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一、财政拨款收入：单位从同级政府财政部门取得的财政预算资金。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七、使用非财政拨款结余：指事业单位使用以前年度积累的非财政拨款结余弥补当年收支差额的金额。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十六、年末结余：本年度或以前年度预算安排，已执行完毕或因客观条件发生变化无法按原预算安排实施，不需要再使用或无法按原预算安排继续使用的资金。</w:t>
      </w:r>
    </w:p>
    <w:p>
      <w:pPr>
        <w:rPr>
          <w:color w:val="auto"/>
        </w:rPr>
      </w:pPr>
    </w:p>
    <w:bookmarkEnd w:id="1"/>
    <w:sectPr>
      <w:pgSz w:w="11906" w:h="16838"/>
      <w:pgMar w:top="1928" w:right="1474" w:bottom="170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altName w:val="Droid Sans"/>
    <w:panose1 w:val="020B0604030504040204"/>
    <w:charset w:val="00"/>
    <w:family w:val="auto"/>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- 1 -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posOffset>2453640</wp:posOffset>
              </wp:positionH>
              <wp:positionV relativeFrom="paragraph">
                <wp:posOffset>0</wp:posOffset>
              </wp:positionV>
              <wp:extent cx="594360" cy="25781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94360" cy="257810"/>
                      </a:xfrm>
                      <a:prstGeom prst="rect">
                        <a:avLst/>
                      </a:prstGeom>
                      <a:noFill/>
                      <a:ln>
                        <a:noFill/>
                      </a:ln>
                    </wps:spPr>
                    <wps:txbx>
                      <w:txbxContent>
                        <w:p>
                          <w:pPr>
                            <w:rPr>
                              <w:rFonts w:hint="eastAsia"/>
                            </w:rPr>
                          </w:pPr>
                        </w:p>
                      </w:txbxContent>
                    </wps:txbx>
                    <wps:bodyPr lIns="0" tIns="0" rIns="0" bIns="0" upright="false"/>
                  </wps:wsp>
                </a:graphicData>
              </a:graphic>
            </wp:anchor>
          </w:drawing>
        </mc:Choice>
        <mc:Fallback>
          <w:pict>
            <v:shape id="_x0000_s1026" o:spid="_x0000_s1026" o:spt="202" type="#_x0000_t202" style="position:absolute;left:0pt;margin-left:193.2pt;margin-top:0pt;height:20.3pt;width:46.8pt;mso-position-horizontal-relative:margin;z-index:251662336;mso-width-relative:page;mso-height-relative:page;" filled="f" stroked="f" coordsize="21600,21600" o:gfxdata="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Dsha/9UAAAAHAQAADwAAAAAAAAABACAAAAA4AAAAZHJzL2Rvd25yZXYueG1sUEsBAhQAFAAA&#10;AAgAh07iQMQ5BUWjAQAAKgMAAA4AAAAAAAAAAQAgAAAAOgEAAGRycy9lMm9Eb2MueG1sUEsFBgAA&#10;AAAGAAYAWQEAAE8FAAAAAA==&#10;">
              <v:fill on="f" focussize="0,0"/>
              <v:stroke on="f"/>
              <v:imagedata o:title=""/>
              <o:lock v:ext="edit" aspectratio="f"/>
              <v:textbox inset="0mm,0mm,0mm,0mm">
                <w:txbxContent>
                  <w:p>
                    <w:pPr>
                      <w:rPr>
                        <w:rFonts w:hint="eastAsia"/>
                      </w:rPr>
                    </w:pPr>
                  </w:p>
                </w:txbxContent>
              </v:textbox>
            </v:shape>
          </w:pict>
        </mc:Fallback>
      </mc:AlternateContent>
    </w:r>
  </w:p>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pRXvmy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4KC8cjuj07evp+8/Tjy+kLe0ZY+ow&#10;6zFiXp7uwsRphr2aQwn9RfikwZUvSiKYgr0+XvurpkwkOpftqm0bDEmMzRcswZ5+j5DyGxUcKQan&#10;gAOsfRWHdymfU+eUUs2HB2NtHaL1vzkQs3hYoX/mWKw8baeLpm3ojyhpxNlz6nE5KbFvPba2rMls&#10;wGxsZ2MfwewGpKaFTWU4AuFv9xmJVH6lyhn6UhwHVxVelqxsxvN7zXp6C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pRXvmyAQAAUgMAAA4AAAAAAAAAAQAgAAAANAEAAGRycy9lMm9Eb2Mu&#10;eG1sUEsFBgAAAAAGAAYAWQEAAFg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97402"/>
    <w:rsid w:val="0E7716F1"/>
    <w:rsid w:val="2C7D1C24"/>
    <w:rsid w:val="2E297402"/>
    <w:rsid w:val="39DB09A5"/>
    <w:rsid w:val="7FDD4DE1"/>
    <w:rsid w:val="D7FDCE10"/>
    <w:rsid w:val="FFD57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spacing w:before="0" w:beforeLines="0" w:after="120" w:afterLines="0" w:line="240" w:lineRule="auto"/>
      <w:ind w:firstLine="420"/>
    </w:pPr>
    <w:rPr>
      <w:rFonts w:ascii="Calibri" w:hAnsi="Calibri" w:eastAsia="楷体_GB2312"/>
      <w:kern w:val="0"/>
      <w:sz w:val="32"/>
      <w:szCs w:val="20"/>
    </w:rPr>
  </w:style>
  <w:style w:type="paragraph" w:styleId="3">
    <w:name w:val="Body Text"/>
    <w:basedOn w:val="1"/>
    <w:next w:val="1"/>
    <w:qFormat/>
    <w:uiPriority w:val="0"/>
    <w:pPr>
      <w:tabs>
        <w:tab w:val="left" w:pos="567"/>
      </w:tabs>
      <w:spacing w:before="120" w:beforeLines="0" w:line="22" w:lineRule="atLeast"/>
    </w:pPr>
    <w:rPr>
      <w:rFonts w:ascii="宋体" w:hAnsi="宋体"/>
      <w:sz w:val="24"/>
    </w:rPr>
  </w:style>
  <w:style w:type="paragraph" w:styleId="4">
    <w:name w:val="Body Text First Indent 2"/>
    <w:basedOn w:val="5"/>
    <w:qFormat/>
    <w:uiPriority w:val="0"/>
    <w:pPr>
      <w:spacing w:after="120" w:afterLines="0" w:line="240" w:lineRule="auto"/>
      <w:ind w:left="420" w:leftChars="200" w:firstLine="420" w:firstLineChars="200"/>
    </w:pPr>
    <w:rPr>
      <w:kern w:val="0"/>
      <w:sz w:val="28"/>
    </w:rPr>
  </w:style>
  <w:style w:type="paragraph" w:styleId="5">
    <w:name w:val="Body Text Indent"/>
    <w:basedOn w:val="1"/>
    <w:next w:val="6"/>
    <w:qFormat/>
    <w:uiPriority w:val="0"/>
    <w:pPr>
      <w:spacing w:line="600" w:lineRule="exact"/>
      <w:ind w:right="85" w:firstLine="693" w:firstLineChars="231"/>
    </w:pPr>
    <w:rPr>
      <w:rFonts w:ascii="楷体_GB2312" w:hAnsi="宋体" w:eastAsia="楷体_GB2312"/>
      <w:sz w:val="30"/>
      <w:szCs w:val="30"/>
    </w:rPr>
  </w:style>
  <w:style w:type="paragraph" w:styleId="6">
    <w:name w:val="envelope return"/>
    <w:basedOn w:val="1"/>
    <w:qFormat/>
    <w:uiPriority w:val="0"/>
    <w:pPr>
      <w:snapToGrid w:val="0"/>
    </w:pPr>
    <w:rPr>
      <w:rFonts w:ascii="Arial" w:hAnsi="Arial"/>
    </w:rPr>
  </w:style>
  <w:style w:type="paragraph" w:styleId="7">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培训中心</Company>
  <Pages>1</Pages>
  <Words>0</Words>
  <Characters>0</Characters>
  <Lines>0</Lines>
  <Paragraphs>0</Paragraphs>
  <TotalTime>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2023-09-19T17:54:00Z</dcterms:created>
  <dc:creator>123456</dc:creator>
  <cp:lastModifiedBy>kylin</cp:lastModifiedBy>
  <cp:lastPrinted>2023-09-20T16:27:00Z</cp:lastPrinted>
  <dcterms:modified xsi:type="dcterms:W3CDTF">2023-09-20T16:44:41Z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81B7B15949984D81A858AB777867F635</vt:lpwstr>
  </property>
</Properties>
</file>